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rPr>
          <w:sz w:val="30"/>
          <w:szCs w:val="30"/>
        </w:rPr>
      </w:pPr>
      <w:r>
        <w:rPr>
          <w:rFonts w:hint="eastAsia"/>
          <w:sz w:val="30"/>
          <w:szCs w:val="30"/>
        </w:rPr>
        <w:t>附件一：</w:t>
      </w:r>
    </w:p>
    <w:p>
      <w:pPr>
        <w:pStyle w:val="14"/>
        <w:jc w:val="center"/>
        <w:rPr>
          <w:rFonts w:ascii="方正小标宋简体" w:eastAsia="方正小标宋简体"/>
          <w:sz w:val="36"/>
          <w:szCs w:val="36"/>
        </w:rPr>
      </w:pPr>
      <w:r>
        <w:rPr>
          <w:rFonts w:hint="eastAsia" w:ascii="方正小标宋简体" w:eastAsia="方正小标宋简体"/>
          <w:sz w:val="36"/>
          <w:szCs w:val="36"/>
        </w:rPr>
        <w:t xml:space="preserve"> 城管精细化管理经费</w:t>
      </w:r>
    </w:p>
    <w:p>
      <w:pPr>
        <w:pStyle w:val="14"/>
        <w:jc w:val="center"/>
        <w:rPr>
          <w:szCs w:val="21"/>
        </w:rPr>
      </w:pPr>
      <w:r>
        <w:rPr>
          <w:rFonts w:hint="eastAsia" w:ascii="方正小标宋简体" w:eastAsia="方正小标宋简体"/>
          <w:sz w:val="36"/>
          <w:szCs w:val="36"/>
        </w:rPr>
        <w:t>财政支出绩效自评报告</w:t>
      </w:r>
    </w:p>
    <w:p>
      <w:pPr>
        <w:jc w:val="center"/>
        <w:rPr>
          <w:sz w:val="18"/>
          <w:szCs w:val="18"/>
        </w:rPr>
      </w:pPr>
    </w:p>
    <w:p>
      <w:pPr>
        <w:pStyle w:val="5"/>
        <w:spacing w:line="560" w:lineRule="exact"/>
        <w:ind w:firstLine="560"/>
        <w:rPr>
          <w:rFonts w:ascii="宋体" w:hAnsi="宋体" w:eastAsia="宋体"/>
          <w:b/>
          <w:kern w:val="44"/>
          <w:szCs w:val="28"/>
        </w:rPr>
      </w:pPr>
      <w:r>
        <w:rPr>
          <w:rFonts w:hint="eastAsia" w:ascii="宋体" w:hAnsi="宋体" w:eastAsia="宋体"/>
          <w:szCs w:val="28"/>
        </w:rPr>
        <w:t>一、</w:t>
      </w:r>
      <w:r>
        <w:rPr>
          <w:rFonts w:hint="eastAsia" w:ascii="宋体" w:hAnsi="宋体" w:eastAsia="宋体"/>
          <w:b/>
          <w:kern w:val="44"/>
          <w:szCs w:val="28"/>
        </w:rPr>
        <w:t>项目概况</w:t>
      </w:r>
    </w:p>
    <w:p>
      <w:pPr>
        <w:pStyle w:val="5"/>
        <w:spacing w:line="600" w:lineRule="exact"/>
        <w:ind w:firstLine="562"/>
        <w:rPr>
          <w:rFonts w:ascii="宋体" w:hAnsi="宋体" w:eastAsia="宋体"/>
          <w:b/>
          <w:kern w:val="44"/>
          <w:szCs w:val="28"/>
        </w:rPr>
      </w:pPr>
      <w:r>
        <w:rPr>
          <w:rFonts w:hint="eastAsia" w:ascii="宋体" w:hAnsi="宋体" w:eastAsia="宋体"/>
          <w:b/>
          <w:kern w:val="44"/>
          <w:szCs w:val="28"/>
        </w:rPr>
        <w:t>（一）项目实施情况</w:t>
      </w:r>
    </w:p>
    <w:p>
      <w:pPr>
        <w:pStyle w:val="5"/>
        <w:spacing w:line="560" w:lineRule="exact"/>
        <w:ind w:firstLine="562"/>
        <w:rPr>
          <w:rFonts w:ascii="宋体" w:hAnsi="宋体" w:eastAsia="宋体"/>
          <w:b/>
          <w:bCs w:val="0"/>
          <w:kern w:val="44"/>
          <w:szCs w:val="28"/>
        </w:rPr>
      </w:pPr>
      <w:r>
        <w:rPr>
          <w:rFonts w:hint="eastAsia" w:ascii="宋体" w:hAnsi="宋体" w:eastAsia="宋体"/>
          <w:b/>
          <w:bCs w:val="0"/>
          <w:kern w:val="44"/>
          <w:szCs w:val="28"/>
        </w:rPr>
        <w:t>1、项目实施背景</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为提示城市精细化管理水平，加快建成高颜值生态花园之城，2022年我街道积极贯彻落实区委、区政府决策部署，紧紧围绕岛内大提升、高颜值厦门建设、城区品质提升等重点任务，不断增强城市综合管理科学化精细化智能化水平，形成常态化的市容市貌管理长效机制，巩固提升文明典范城市创建成果，助力更高水平建设高素质高颜值现代化国际化都市。</w:t>
      </w:r>
    </w:p>
    <w:p>
      <w:pPr>
        <w:pStyle w:val="5"/>
        <w:spacing w:line="560" w:lineRule="exact"/>
        <w:ind w:firstLine="562"/>
        <w:rPr>
          <w:rFonts w:ascii="宋体" w:hAnsi="宋体" w:eastAsia="宋体"/>
          <w:b/>
          <w:bCs w:val="0"/>
          <w:kern w:val="44"/>
          <w:szCs w:val="28"/>
        </w:rPr>
      </w:pPr>
      <w:r>
        <w:rPr>
          <w:rFonts w:hint="eastAsia" w:ascii="宋体" w:hAnsi="宋体" w:eastAsia="宋体"/>
          <w:b/>
          <w:bCs w:val="0"/>
          <w:kern w:val="44"/>
          <w:szCs w:val="28"/>
        </w:rPr>
        <w:t>2、主要依据</w:t>
      </w:r>
    </w:p>
    <w:p>
      <w:pPr>
        <w:spacing w:line="560" w:lineRule="exact"/>
        <w:ind w:firstLine="560" w:firstLineChars="200"/>
        <w:rPr>
          <w:rFonts w:ascii="宋体" w:hAnsi="宋体"/>
          <w:bCs/>
          <w:kern w:val="44"/>
          <w:sz w:val="28"/>
          <w:szCs w:val="28"/>
        </w:rPr>
      </w:pPr>
      <w:bookmarkStart w:id="0" w:name="_Hlk117503360"/>
      <w:r>
        <w:rPr>
          <w:rFonts w:hint="eastAsia" w:ascii="宋体" w:hAnsi="宋体"/>
          <w:bCs/>
          <w:kern w:val="44"/>
          <w:sz w:val="28"/>
          <w:szCs w:val="28"/>
        </w:rPr>
        <w:t>（1）厦门市城市综合管理委员会办公室关于印发《厦门市沿街店面适当跨店经营管理指导意见》的通知（厦城管办〔2022〕1</w:t>
      </w:r>
      <w:r>
        <w:rPr>
          <w:rFonts w:ascii="宋体" w:hAnsi="宋体"/>
          <w:bCs/>
          <w:kern w:val="44"/>
          <w:sz w:val="28"/>
          <w:szCs w:val="28"/>
        </w:rPr>
        <w:t>4</w:t>
      </w:r>
      <w:r>
        <w:rPr>
          <w:rFonts w:hint="eastAsia" w:ascii="宋体" w:hAnsi="宋体"/>
          <w:bCs/>
          <w:kern w:val="44"/>
          <w:sz w:val="28"/>
          <w:szCs w:val="28"/>
        </w:rPr>
        <w:t>号）；</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（2）厦门市城市综合管理委员会办公室关于印发《开展“门前三包”落实年活动工作方案》的通知（厦城管办〔2022〕1</w:t>
      </w:r>
      <w:r>
        <w:rPr>
          <w:rFonts w:ascii="宋体" w:hAnsi="宋体"/>
          <w:bCs/>
          <w:kern w:val="44"/>
          <w:sz w:val="28"/>
          <w:szCs w:val="28"/>
        </w:rPr>
        <w:t>8</w:t>
      </w:r>
      <w:r>
        <w:rPr>
          <w:rFonts w:hint="eastAsia" w:ascii="宋体" w:hAnsi="宋体"/>
          <w:bCs/>
          <w:kern w:val="44"/>
          <w:sz w:val="28"/>
          <w:szCs w:val="28"/>
        </w:rPr>
        <w:t>号）；</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w:t>
      </w:r>
      <w:r>
        <w:rPr>
          <w:rFonts w:ascii="宋体" w:hAnsi="宋体"/>
          <w:bCs/>
          <w:kern w:val="44"/>
          <w:sz w:val="28"/>
          <w:szCs w:val="28"/>
        </w:rPr>
        <w:t>3</w:t>
      </w:r>
      <w:r>
        <w:rPr>
          <w:rFonts w:hint="eastAsia" w:ascii="宋体" w:hAnsi="宋体"/>
          <w:bCs/>
          <w:kern w:val="44"/>
          <w:sz w:val="28"/>
          <w:szCs w:val="28"/>
        </w:rPr>
        <w:t>）厦门市城市综合管理委员会办公室关于印发《厦门市城市精细化管理考评方案（2022年版）》的通知（厦城管办〔2022〕19号）；</w:t>
      </w:r>
    </w:p>
    <w:bookmarkEnd w:id="0"/>
    <w:p>
      <w:pPr>
        <w:pStyle w:val="5"/>
        <w:spacing w:line="560" w:lineRule="exact"/>
        <w:ind w:firstLine="562"/>
        <w:rPr>
          <w:rFonts w:ascii="宋体" w:hAnsi="宋体" w:eastAsia="宋体"/>
          <w:b/>
          <w:bCs w:val="0"/>
          <w:kern w:val="44"/>
          <w:szCs w:val="28"/>
        </w:rPr>
      </w:pPr>
      <w:r>
        <w:rPr>
          <w:rFonts w:hint="eastAsia" w:ascii="宋体" w:hAnsi="宋体" w:eastAsia="宋体"/>
          <w:b/>
          <w:bCs w:val="0"/>
          <w:kern w:val="44"/>
          <w:szCs w:val="28"/>
        </w:rPr>
        <w:t>3、实施年度</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项目实施年度为2</w:t>
      </w:r>
      <w:r>
        <w:rPr>
          <w:rFonts w:ascii="宋体" w:hAnsi="宋体"/>
          <w:bCs/>
          <w:kern w:val="44"/>
          <w:sz w:val="28"/>
          <w:szCs w:val="28"/>
        </w:rPr>
        <w:t>022</w:t>
      </w:r>
      <w:r>
        <w:rPr>
          <w:rFonts w:hint="eastAsia" w:ascii="宋体" w:hAnsi="宋体"/>
          <w:bCs/>
          <w:kern w:val="44"/>
          <w:sz w:val="28"/>
          <w:szCs w:val="28"/>
        </w:rPr>
        <w:t>年。</w:t>
      </w:r>
    </w:p>
    <w:p>
      <w:pPr>
        <w:pStyle w:val="5"/>
        <w:spacing w:line="560" w:lineRule="exact"/>
        <w:ind w:firstLine="562"/>
        <w:rPr>
          <w:rFonts w:ascii="宋体" w:hAnsi="宋体" w:eastAsia="宋体"/>
          <w:b/>
          <w:bCs w:val="0"/>
          <w:kern w:val="44"/>
          <w:szCs w:val="28"/>
        </w:rPr>
      </w:pPr>
      <w:r>
        <w:rPr>
          <w:rFonts w:ascii="宋体" w:hAnsi="宋体" w:eastAsia="宋体"/>
          <w:b/>
          <w:bCs w:val="0"/>
          <w:kern w:val="44"/>
          <w:szCs w:val="28"/>
        </w:rPr>
        <w:t>4</w:t>
      </w:r>
      <w:r>
        <w:rPr>
          <w:rFonts w:hint="eastAsia" w:ascii="宋体" w:hAnsi="宋体" w:eastAsia="宋体"/>
          <w:b/>
          <w:bCs w:val="0"/>
          <w:kern w:val="44"/>
          <w:szCs w:val="28"/>
        </w:rPr>
        <w:t>、实施范围</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本项目实施范围为辖区内</w:t>
      </w:r>
      <w:r>
        <w:rPr>
          <w:rFonts w:ascii="宋体" w:hAnsi="宋体"/>
          <w:bCs/>
          <w:kern w:val="44"/>
          <w:sz w:val="28"/>
          <w:szCs w:val="28"/>
        </w:rPr>
        <w:t>城中村容貌专项</w:t>
      </w:r>
      <w:r>
        <w:rPr>
          <w:rFonts w:hint="eastAsia" w:ascii="宋体" w:hAnsi="宋体"/>
          <w:bCs/>
          <w:kern w:val="44"/>
          <w:sz w:val="28"/>
          <w:szCs w:val="28"/>
        </w:rPr>
        <w:t>整治，如街区改造提升项目工程、“门前三包”工作、沿街店面跨店经营管理工作及城市精细化考评管理工作经费。</w:t>
      </w:r>
    </w:p>
    <w:p>
      <w:pPr>
        <w:pStyle w:val="5"/>
        <w:spacing w:line="560" w:lineRule="exact"/>
        <w:ind w:firstLine="562"/>
        <w:rPr>
          <w:rFonts w:ascii="宋体" w:hAnsi="宋体" w:eastAsia="宋体"/>
          <w:b/>
          <w:bCs w:val="0"/>
          <w:kern w:val="44"/>
          <w:szCs w:val="28"/>
        </w:rPr>
      </w:pPr>
      <w:r>
        <w:rPr>
          <w:rFonts w:hint="eastAsia" w:ascii="宋体" w:hAnsi="宋体" w:eastAsia="宋体"/>
          <w:b/>
          <w:bCs w:val="0"/>
          <w:kern w:val="44"/>
          <w:szCs w:val="28"/>
        </w:rPr>
        <w:t>5、实施程序</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本项目纳入年度绩效管理中，根据项目实际情况建立年初预算绩效申报，编制绩效目标。年中进行项目监控。我街道严格按照相关文件规定要求城市精细化管理工作。</w:t>
      </w:r>
    </w:p>
    <w:p>
      <w:pPr>
        <w:pStyle w:val="5"/>
        <w:spacing w:line="600" w:lineRule="exact"/>
        <w:ind w:firstLine="562"/>
        <w:rPr>
          <w:rFonts w:ascii="宋体" w:hAnsi="宋体" w:eastAsia="宋体"/>
          <w:b/>
          <w:kern w:val="44"/>
          <w:szCs w:val="28"/>
        </w:rPr>
      </w:pPr>
      <w:r>
        <w:rPr>
          <w:rFonts w:hint="eastAsia" w:ascii="宋体" w:hAnsi="宋体" w:eastAsia="宋体"/>
          <w:b/>
          <w:kern w:val="44"/>
          <w:szCs w:val="28"/>
        </w:rPr>
        <w:t>（二）财政支出情况</w:t>
      </w:r>
    </w:p>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支出预算情况</w:t>
      </w:r>
    </w:p>
    <w:p>
      <w:pPr>
        <w:spacing w:line="560" w:lineRule="exact"/>
        <w:ind w:firstLine="560" w:firstLineChars="200"/>
        <w:rPr>
          <w:rFonts w:ascii="宋体" w:hAnsi="宋体"/>
          <w:bCs/>
          <w:kern w:val="44"/>
          <w:sz w:val="28"/>
          <w:szCs w:val="28"/>
        </w:rPr>
      </w:pPr>
      <w:r>
        <w:rPr>
          <w:rFonts w:ascii="宋体" w:hAnsi="宋体"/>
          <w:bCs/>
          <w:kern w:val="44"/>
          <w:sz w:val="28"/>
          <w:szCs w:val="28"/>
        </w:rPr>
        <w:t>2022</w:t>
      </w:r>
      <w:r>
        <w:rPr>
          <w:rFonts w:hint="eastAsia" w:ascii="宋体" w:hAnsi="宋体"/>
          <w:bCs/>
          <w:kern w:val="44"/>
          <w:sz w:val="28"/>
          <w:szCs w:val="28"/>
        </w:rPr>
        <w:t>年本项目年初预算</w:t>
      </w:r>
      <w:r>
        <w:rPr>
          <w:rFonts w:ascii="宋体" w:hAnsi="宋体"/>
          <w:bCs/>
          <w:kern w:val="44"/>
          <w:sz w:val="28"/>
          <w:szCs w:val="28"/>
        </w:rPr>
        <w:t>100.00</w:t>
      </w:r>
      <w:r>
        <w:rPr>
          <w:rFonts w:hint="eastAsia" w:ascii="宋体" w:hAnsi="宋体"/>
          <w:bCs/>
          <w:kern w:val="44"/>
          <w:sz w:val="28"/>
          <w:szCs w:val="28"/>
        </w:rPr>
        <w:t>万元，预算追加</w:t>
      </w:r>
      <w:r>
        <w:rPr>
          <w:rFonts w:ascii="宋体" w:hAnsi="宋体"/>
          <w:bCs/>
          <w:kern w:val="44"/>
          <w:sz w:val="28"/>
          <w:szCs w:val="28"/>
        </w:rPr>
        <w:t>180.00</w:t>
      </w:r>
      <w:r>
        <w:rPr>
          <w:rFonts w:hint="eastAsia" w:ascii="宋体" w:hAnsi="宋体"/>
          <w:bCs/>
          <w:kern w:val="44"/>
          <w:sz w:val="28"/>
          <w:szCs w:val="28"/>
        </w:rPr>
        <w:t>万元，总预算</w:t>
      </w:r>
      <w:r>
        <w:rPr>
          <w:rFonts w:ascii="宋体" w:hAnsi="宋体"/>
          <w:bCs/>
          <w:kern w:val="44"/>
          <w:sz w:val="28"/>
          <w:szCs w:val="28"/>
        </w:rPr>
        <w:t>280.00</w:t>
      </w:r>
      <w:r>
        <w:rPr>
          <w:rFonts w:hint="eastAsia" w:ascii="宋体" w:hAnsi="宋体"/>
          <w:bCs/>
          <w:kern w:val="44"/>
          <w:sz w:val="28"/>
          <w:szCs w:val="28"/>
        </w:rPr>
        <w:t>万元，实际支出数</w:t>
      </w:r>
      <w:r>
        <w:rPr>
          <w:rFonts w:ascii="宋体" w:hAnsi="宋体"/>
          <w:bCs/>
          <w:kern w:val="44"/>
          <w:sz w:val="28"/>
          <w:szCs w:val="28"/>
        </w:rPr>
        <w:t>278.57</w:t>
      </w:r>
      <w:r>
        <w:rPr>
          <w:rFonts w:hint="eastAsia" w:ascii="宋体" w:hAnsi="宋体"/>
          <w:bCs/>
          <w:kern w:val="44"/>
          <w:sz w:val="28"/>
          <w:szCs w:val="28"/>
        </w:rPr>
        <w:t>万元。</w:t>
      </w:r>
    </w:p>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资金使用范围对象</w:t>
      </w:r>
    </w:p>
    <w:tbl>
      <w:tblPr>
        <w:tblStyle w:val="6"/>
        <w:tblW w:w="9906" w:type="dxa"/>
        <w:tblInd w:w="113" w:type="dxa"/>
        <w:tblLayout w:type="autofit"/>
        <w:tblCellMar>
          <w:top w:w="0" w:type="dxa"/>
          <w:left w:w="108" w:type="dxa"/>
          <w:bottom w:w="0" w:type="dxa"/>
          <w:right w:w="108" w:type="dxa"/>
        </w:tblCellMar>
      </w:tblPr>
      <w:tblGrid>
        <w:gridCol w:w="7060"/>
        <w:gridCol w:w="2846"/>
      </w:tblGrid>
      <w:tr>
        <w:tblPrEx>
          <w:tblCellMar>
            <w:top w:w="0" w:type="dxa"/>
            <w:left w:w="108" w:type="dxa"/>
            <w:bottom w:w="0" w:type="dxa"/>
            <w:right w:w="108" w:type="dxa"/>
          </w:tblCellMar>
        </w:tblPrEx>
        <w:trPr>
          <w:trHeight w:val="624" w:hRule="atLeast"/>
        </w:trPr>
        <w:tc>
          <w:tcPr>
            <w:tcW w:w="70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 w:val="28"/>
                <w:szCs w:val="28"/>
              </w:rPr>
            </w:pPr>
            <w:r>
              <w:rPr>
                <w:rFonts w:hint="eastAsia" w:ascii="宋体" w:hAnsi="宋体" w:cs="宋体"/>
                <w:b/>
                <w:bCs/>
                <w:color w:val="000000"/>
                <w:kern w:val="0"/>
                <w:sz w:val="28"/>
                <w:szCs w:val="28"/>
              </w:rPr>
              <w:t>支出明细</w:t>
            </w:r>
          </w:p>
        </w:tc>
        <w:tc>
          <w:tcPr>
            <w:tcW w:w="284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 w:val="28"/>
                <w:szCs w:val="28"/>
              </w:rPr>
            </w:pPr>
            <w:r>
              <w:rPr>
                <w:rFonts w:hint="eastAsia" w:ascii="宋体" w:hAnsi="宋体" w:cs="宋体"/>
                <w:b/>
                <w:bCs/>
                <w:color w:val="000000"/>
                <w:kern w:val="0"/>
                <w:sz w:val="28"/>
                <w:szCs w:val="28"/>
              </w:rPr>
              <w:t>金额（单位：万元）</w:t>
            </w:r>
          </w:p>
        </w:tc>
      </w:tr>
      <w:tr>
        <w:tblPrEx>
          <w:tblCellMar>
            <w:top w:w="0" w:type="dxa"/>
            <w:left w:w="108" w:type="dxa"/>
            <w:bottom w:w="0" w:type="dxa"/>
            <w:right w:w="108" w:type="dxa"/>
          </w:tblCellMar>
        </w:tblPrEx>
        <w:trPr>
          <w:trHeight w:val="624" w:hRule="atLeast"/>
        </w:trPr>
        <w:tc>
          <w:tcPr>
            <w:tcW w:w="70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rPr>
                <w:rFonts w:ascii="宋体" w:hAnsi="宋体" w:cs="宋体"/>
                <w:b/>
                <w:bCs/>
                <w:color w:val="000000"/>
                <w:kern w:val="0"/>
                <w:sz w:val="28"/>
                <w:szCs w:val="28"/>
              </w:rPr>
            </w:pPr>
            <w:r>
              <w:rPr>
                <w:rFonts w:hint="eastAsia" w:ascii="宋体" w:hAnsi="宋体"/>
                <w:color w:val="000000"/>
                <w:sz w:val="28"/>
                <w:szCs w:val="28"/>
              </w:rPr>
              <w:t>下拨社区2022年城市精细化管理考评工作经费</w:t>
            </w:r>
          </w:p>
        </w:tc>
        <w:tc>
          <w:tcPr>
            <w:tcW w:w="2846"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ascii="宋体" w:hAnsi="宋体" w:cs="宋体"/>
                <w:b/>
                <w:bCs/>
                <w:color w:val="000000"/>
                <w:kern w:val="0"/>
                <w:sz w:val="28"/>
                <w:szCs w:val="28"/>
              </w:rPr>
            </w:pPr>
            <w:r>
              <w:rPr>
                <w:rFonts w:hint="eastAsia" w:ascii="宋体" w:hAnsi="宋体"/>
                <w:color w:val="000000"/>
                <w:sz w:val="28"/>
                <w:szCs w:val="28"/>
              </w:rPr>
              <w:t xml:space="preserve">      51.48 </w:t>
            </w:r>
          </w:p>
        </w:tc>
      </w:tr>
      <w:tr>
        <w:tblPrEx>
          <w:tblCellMar>
            <w:top w:w="0" w:type="dxa"/>
            <w:left w:w="108" w:type="dxa"/>
            <w:bottom w:w="0" w:type="dxa"/>
            <w:right w:w="108" w:type="dxa"/>
          </w:tblCellMar>
        </w:tblPrEx>
        <w:trPr>
          <w:trHeight w:val="624" w:hRule="atLeast"/>
        </w:trPr>
        <w:tc>
          <w:tcPr>
            <w:tcW w:w="70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rPr>
                <w:rFonts w:ascii="宋体" w:hAnsi="宋体" w:cs="宋体"/>
                <w:b/>
                <w:bCs/>
                <w:color w:val="000000"/>
                <w:kern w:val="0"/>
                <w:sz w:val="28"/>
                <w:szCs w:val="28"/>
              </w:rPr>
            </w:pPr>
            <w:r>
              <w:rPr>
                <w:rFonts w:hint="eastAsia" w:ascii="宋体" w:hAnsi="宋体"/>
                <w:color w:val="000000"/>
                <w:sz w:val="28"/>
                <w:szCs w:val="28"/>
              </w:rPr>
              <w:t>下拨社区2023年上半年城市精细化考评管理工作经费</w:t>
            </w:r>
          </w:p>
        </w:tc>
        <w:tc>
          <w:tcPr>
            <w:tcW w:w="2846"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ascii="宋体" w:hAnsi="宋体" w:cs="宋体"/>
                <w:b/>
                <w:bCs/>
                <w:color w:val="000000"/>
                <w:kern w:val="0"/>
                <w:sz w:val="28"/>
                <w:szCs w:val="28"/>
              </w:rPr>
            </w:pPr>
            <w:r>
              <w:rPr>
                <w:rFonts w:hint="eastAsia" w:ascii="宋体" w:hAnsi="宋体"/>
                <w:color w:val="000000"/>
                <w:sz w:val="28"/>
                <w:szCs w:val="28"/>
              </w:rPr>
              <w:t xml:space="preserve">      51.48 </w:t>
            </w:r>
          </w:p>
        </w:tc>
      </w:tr>
      <w:tr>
        <w:tblPrEx>
          <w:tblCellMar>
            <w:top w:w="0" w:type="dxa"/>
            <w:left w:w="108" w:type="dxa"/>
            <w:bottom w:w="0" w:type="dxa"/>
            <w:right w:w="108" w:type="dxa"/>
          </w:tblCellMar>
        </w:tblPrEx>
        <w:trPr>
          <w:trHeight w:val="624" w:hRule="atLeast"/>
        </w:trPr>
        <w:tc>
          <w:tcPr>
            <w:tcW w:w="70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rPr>
                <w:rFonts w:ascii="宋体" w:hAnsi="宋体" w:cs="宋体"/>
                <w:b/>
                <w:bCs/>
                <w:color w:val="000000"/>
                <w:kern w:val="0"/>
                <w:sz w:val="28"/>
                <w:szCs w:val="28"/>
              </w:rPr>
            </w:pPr>
            <w:r>
              <w:rPr>
                <w:rFonts w:hint="eastAsia" w:ascii="宋体" w:hAnsi="宋体"/>
                <w:color w:val="000000"/>
                <w:sz w:val="28"/>
                <w:szCs w:val="28"/>
              </w:rPr>
              <w:t>支付“门前三包”适当跨店经营施划管理线费用</w:t>
            </w:r>
          </w:p>
        </w:tc>
        <w:tc>
          <w:tcPr>
            <w:tcW w:w="2846"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ascii="宋体" w:hAnsi="宋体" w:cs="宋体"/>
                <w:b/>
                <w:bCs/>
                <w:color w:val="000000"/>
                <w:kern w:val="0"/>
                <w:sz w:val="28"/>
                <w:szCs w:val="28"/>
              </w:rPr>
            </w:pPr>
            <w:r>
              <w:rPr>
                <w:rFonts w:hint="eastAsia" w:ascii="宋体" w:hAnsi="宋体"/>
                <w:color w:val="000000"/>
                <w:sz w:val="28"/>
                <w:szCs w:val="28"/>
              </w:rPr>
              <w:t xml:space="preserve">      22.56 </w:t>
            </w:r>
          </w:p>
        </w:tc>
      </w:tr>
      <w:tr>
        <w:tblPrEx>
          <w:tblCellMar>
            <w:top w:w="0" w:type="dxa"/>
            <w:left w:w="108" w:type="dxa"/>
            <w:bottom w:w="0" w:type="dxa"/>
            <w:right w:w="108" w:type="dxa"/>
          </w:tblCellMar>
        </w:tblPrEx>
        <w:trPr>
          <w:trHeight w:val="624" w:hRule="atLeast"/>
        </w:trPr>
        <w:tc>
          <w:tcPr>
            <w:tcW w:w="706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8"/>
                <w:szCs w:val="28"/>
              </w:rPr>
            </w:pPr>
            <w:r>
              <w:rPr>
                <w:rFonts w:hint="eastAsia" w:ascii="宋体" w:hAnsi="宋体"/>
                <w:color w:val="000000"/>
                <w:sz w:val="28"/>
                <w:szCs w:val="28"/>
              </w:rPr>
              <w:t>支付门前三包责任牌二维码更换费用</w:t>
            </w:r>
          </w:p>
        </w:tc>
        <w:tc>
          <w:tcPr>
            <w:tcW w:w="284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28"/>
                <w:szCs w:val="28"/>
              </w:rPr>
            </w:pPr>
            <w:r>
              <w:rPr>
                <w:rFonts w:hint="eastAsia" w:ascii="宋体" w:hAnsi="宋体"/>
                <w:color w:val="000000"/>
                <w:sz w:val="28"/>
                <w:szCs w:val="28"/>
              </w:rPr>
              <w:t xml:space="preserve">        3.91 </w:t>
            </w:r>
          </w:p>
        </w:tc>
      </w:tr>
      <w:tr>
        <w:tblPrEx>
          <w:tblCellMar>
            <w:top w:w="0" w:type="dxa"/>
            <w:left w:w="108" w:type="dxa"/>
            <w:bottom w:w="0" w:type="dxa"/>
            <w:right w:w="108" w:type="dxa"/>
          </w:tblCellMar>
        </w:tblPrEx>
        <w:trPr>
          <w:trHeight w:val="624" w:hRule="atLeast"/>
        </w:trPr>
        <w:tc>
          <w:tcPr>
            <w:tcW w:w="706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8"/>
                <w:szCs w:val="28"/>
              </w:rPr>
            </w:pPr>
            <w:r>
              <w:rPr>
                <w:rFonts w:hint="eastAsia" w:ascii="宋体" w:hAnsi="宋体"/>
                <w:color w:val="000000"/>
                <w:sz w:val="28"/>
                <w:szCs w:val="28"/>
              </w:rPr>
              <w:t>支付门前三包责任牌制作费</w:t>
            </w:r>
          </w:p>
        </w:tc>
        <w:tc>
          <w:tcPr>
            <w:tcW w:w="284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28"/>
                <w:szCs w:val="28"/>
              </w:rPr>
            </w:pPr>
            <w:r>
              <w:rPr>
                <w:rFonts w:hint="eastAsia" w:ascii="宋体" w:hAnsi="宋体"/>
                <w:color w:val="000000"/>
                <w:sz w:val="28"/>
                <w:szCs w:val="28"/>
              </w:rPr>
              <w:t xml:space="preserve">      31.26 </w:t>
            </w:r>
          </w:p>
        </w:tc>
      </w:tr>
      <w:tr>
        <w:tblPrEx>
          <w:tblCellMar>
            <w:top w:w="0" w:type="dxa"/>
            <w:left w:w="108" w:type="dxa"/>
            <w:bottom w:w="0" w:type="dxa"/>
            <w:right w:w="108" w:type="dxa"/>
          </w:tblCellMar>
        </w:tblPrEx>
        <w:trPr>
          <w:trHeight w:val="624" w:hRule="atLeast"/>
        </w:trPr>
        <w:tc>
          <w:tcPr>
            <w:tcW w:w="706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8"/>
                <w:szCs w:val="28"/>
              </w:rPr>
            </w:pPr>
            <w:r>
              <w:rPr>
                <w:rFonts w:hint="eastAsia" w:ascii="宋体" w:hAnsi="宋体"/>
                <w:color w:val="000000"/>
                <w:sz w:val="28"/>
                <w:szCs w:val="28"/>
              </w:rPr>
              <w:t>支付制作适当跨店经营公示牌费用</w:t>
            </w:r>
          </w:p>
        </w:tc>
        <w:tc>
          <w:tcPr>
            <w:tcW w:w="284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28"/>
                <w:szCs w:val="28"/>
              </w:rPr>
            </w:pPr>
            <w:r>
              <w:rPr>
                <w:rFonts w:hint="eastAsia" w:ascii="宋体" w:hAnsi="宋体"/>
                <w:color w:val="000000"/>
                <w:sz w:val="28"/>
                <w:szCs w:val="28"/>
              </w:rPr>
              <w:t xml:space="preserve">        1.80 </w:t>
            </w:r>
          </w:p>
        </w:tc>
      </w:tr>
      <w:tr>
        <w:tblPrEx>
          <w:tblCellMar>
            <w:top w:w="0" w:type="dxa"/>
            <w:left w:w="108" w:type="dxa"/>
            <w:bottom w:w="0" w:type="dxa"/>
            <w:right w:w="108" w:type="dxa"/>
          </w:tblCellMar>
        </w:tblPrEx>
        <w:trPr>
          <w:trHeight w:val="624" w:hRule="atLeast"/>
        </w:trPr>
        <w:tc>
          <w:tcPr>
            <w:tcW w:w="706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8"/>
                <w:szCs w:val="28"/>
              </w:rPr>
            </w:pPr>
            <w:r>
              <w:rPr>
                <w:rFonts w:hint="eastAsia" w:ascii="宋体" w:hAnsi="宋体"/>
                <w:color w:val="000000"/>
                <w:sz w:val="28"/>
                <w:szCs w:val="28"/>
              </w:rPr>
              <w:t>支付钟宅西二路精细化管理样板街景观照明及垂直绿化提升建设工程造价咨询款</w:t>
            </w:r>
          </w:p>
        </w:tc>
        <w:tc>
          <w:tcPr>
            <w:tcW w:w="284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28"/>
                <w:szCs w:val="28"/>
              </w:rPr>
            </w:pPr>
            <w:r>
              <w:rPr>
                <w:rFonts w:hint="eastAsia" w:ascii="宋体" w:hAnsi="宋体"/>
                <w:color w:val="000000"/>
                <w:sz w:val="28"/>
                <w:szCs w:val="28"/>
              </w:rPr>
              <w:t xml:space="preserve">        0.50 </w:t>
            </w:r>
          </w:p>
        </w:tc>
      </w:tr>
      <w:tr>
        <w:tblPrEx>
          <w:tblCellMar>
            <w:top w:w="0" w:type="dxa"/>
            <w:left w:w="108" w:type="dxa"/>
            <w:bottom w:w="0" w:type="dxa"/>
            <w:right w:w="108" w:type="dxa"/>
          </w:tblCellMar>
        </w:tblPrEx>
        <w:trPr>
          <w:trHeight w:val="1119" w:hRule="atLeast"/>
        </w:trPr>
        <w:tc>
          <w:tcPr>
            <w:tcW w:w="706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8"/>
                <w:szCs w:val="28"/>
              </w:rPr>
            </w:pPr>
            <w:r>
              <w:rPr>
                <w:rFonts w:hint="eastAsia" w:ascii="宋体" w:hAnsi="宋体"/>
                <w:color w:val="000000"/>
                <w:sz w:val="28"/>
                <w:szCs w:val="28"/>
              </w:rPr>
              <w:t>支付钟宅西二路精细化管理样板街区改造提升工程监理款</w:t>
            </w:r>
          </w:p>
        </w:tc>
        <w:tc>
          <w:tcPr>
            <w:tcW w:w="284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28"/>
                <w:szCs w:val="28"/>
              </w:rPr>
            </w:pPr>
            <w:r>
              <w:rPr>
                <w:rFonts w:hint="eastAsia" w:ascii="宋体" w:hAnsi="宋体"/>
                <w:color w:val="000000"/>
                <w:sz w:val="28"/>
                <w:szCs w:val="28"/>
              </w:rPr>
              <w:t xml:space="preserve">        2.44 </w:t>
            </w:r>
          </w:p>
        </w:tc>
      </w:tr>
      <w:tr>
        <w:tblPrEx>
          <w:tblCellMar>
            <w:top w:w="0" w:type="dxa"/>
            <w:left w:w="108" w:type="dxa"/>
            <w:bottom w:w="0" w:type="dxa"/>
            <w:right w:w="108" w:type="dxa"/>
          </w:tblCellMar>
        </w:tblPrEx>
        <w:trPr>
          <w:trHeight w:val="624" w:hRule="atLeast"/>
        </w:trPr>
        <w:tc>
          <w:tcPr>
            <w:tcW w:w="706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8"/>
                <w:szCs w:val="28"/>
              </w:rPr>
            </w:pPr>
            <w:r>
              <w:rPr>
                <w:rFonts w:hint="eastAsia" w:ascii="宋体" w:hAnsi="宋体"/>
                <w:color w:val="000000"/>
                <w:sz w:val="28"/>
                <w:szCs w:val="28"/>
              </w:rPr>
              <w:t>支付钟宅西二路精细化管理样板街区改造提升工程造价咨询款</w:t>
            </w:r>
          </w:p>
        </w:tc>
        <w:tc>
          <w:tcPr>
            <w:tcW w:w="284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28"/>
                <w:szCs w:val="28"/>
              </w:rPr>
            </w:pPr>
            <w:r>
              <w:rPr>
                <w:rFonts w:hint="eastAsia" w:ascii="宋体" w:hAnsi="宋体"/>
                <w:color w:val="000000"/>
                <w:sz w:val="28"/>
                <w:szCs w:val="28"/>
              </w:rPr>
              <w:t xml:space="preserve">        0.46 </w:t>
            </w:r>
          </w:p>
        </w:tc>
      </w:tr>
      <w:tr>
        <w:tblPrEx>
          <w:tblCellMar>
            <w:top w:w="0" w:type="dxa"/>
            <w:left w:w="108" w:type="dxa"/>
            <w:bottom w:w="0" w:type="dxa"/>
            <w:right w:w="108" w:type="dxa"/>
          </w:tblCellMar>
        </w:tblPrEx>
        <w:trPr>
          <w:trHeight w:val="624" w:hRule="atLeast"/>
        </w:trPr>
        <w:tc>
          <w:tcPr>
            <w:tcW w:w="703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8"/>
                <w:szCs w:val="28"/>
              </w:rPr>
            </w:pPr>
            <w:r>
              <w:rPr>
                <w:rFonts w:hint="eastAsia" w:ascii="宋体" w:hAnsi="宋体"/>
                <w:color w:val="000000"/>
                <w:sz w:val="28"/>
                <w:szCs w:val="28"/>
              </w:rPr>
              <w:t>支付钟宅西二路精细化管理样板街区改造提升项目工程进度款（90%）</w:t>
            </w:r>
          </w:p>
        </w:tc>
        <w:tc>
          <w:tcPr>
            <w:tcW w:w="284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28"/>
                <w:szCs w:val="28"/>
              </w:rPr>
            </w:pPr>
            <w:r>
              <w:rPr>
                <w:rFonts w:hint="eastAsia" w:ascii="宋体" w:hAnsi="宋体"/>
                <w:color w:val="000000"/>
                <w:sz w:val="28"/>
                <w:szCs w:val="28"/>
              </w:rPr>
              <w:t xml:space="preserve">      83.27 </w:t>
            </w:r>
          </w:p>
        </w:tc>
      </w:tr>
      <w:tr>
        <w:tblPrEx>
          <w:tblCellMar>
            <w:top w:w="0" w:type="dxa"/>
            <w:left w:w="108" w:type="dxa"/>
            <w:bottom w:w="0" w:type="dxa"/>
            <w:right w:w="108" w:type="dxa"/>
          </w:tblCellMar>
        </w:tblPrEx>
        <w:trPr>
          <w:trHeight w:val="624" w:hRule="atLeast"/>
        </w:trPr>
        <w:tc>
          <w:tcPr>
            <w:tcW w:w="706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8"/>
                <w:szCs w:val="28"/>
              </w:rPr>
            </w:pPr>
            <w:r>
              <w:rPr>
                <w:rFonts w:hint="eastAsia" w:ascii="宋体" w:hAnsi="宋体"/>
                <w:color w:val="000000"/>
                <w:sz w:val="28"/>
                <w:szCs w:val="28"/>
              </w:rPr>
              <w:t>支付钟宅西二路精细化管理样板街区改造提升项目设计款</w:t>
            </w:r>
          </w:p>
        </w:tc>
        <w:tc>
          <w:tcPr>
            <w:tcW w:w="284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28"/>
                <w:szCs w:val="28"/>
              </w:rPr>
            </w:pPr>
            <w:r>
              <w:rPr>
                <w:rFonts w:hint="eastAsia" w:ascii="宋体" w:hAnsi="宋体"/>
                <w:color w:val="000000"/>
                <w:sz w:val="28"/>
                <w:szCs w:val="28"/>
              </w:rPr>
              <w:t xml:space="preserve">        6.18 </w:t>
            </w:r>
          </w:p>
        </w:tc>
      </w:tr>
      <w:tr>
        <w:tblPrEx>
          <w:tblCellMar>
            <w:top w:w="0" w:type="dxa"/>
            <w:left w:w="108" w:type="dxa"/>
            <w:bottom w:w="0" w:type="dxa"/>
            <w:right w:w="108" w:type="dxa"/>
          </w:tblCellMar>
        </w:tblPrEx>
        <w:trPr>
          <w:trHeight w:val="624" w:hRule="atLeast"/>
        </w:trPr>
        <w:tc>
          <w:tcPr>
            <w:tcW w:w="706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8"/>
                <w:szCs w:val="28"/>
              </w:rPr>
            </w:pPr>
            <w:r>
              <w:rPr>
                <w:rFonts w:hint="eastAsia" w:ascii="宋体" w:hAnsi="宋体"/>
                <w:color w:val="000000"/>
                <w:sz w:val="28"/>
                <w:szCs w:val="28"/>
              </w:rPr>
              <w:t>支付钟宅西二路精细化管理样板街区景观照明及绿化提升项目工程进度款（97%）</w:t>
            </w:r>
          </w:p>
        </w:tc>
        <w:tc>
          <w:tcPr>
            <w:tcW w:w="284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28"/>
                <w:szCs w:val="28"/>
              </w:rPr>
            </w:pPr>
            <w:r>
              <w:rPr>
                <w:rFonts w:hint="eastAsia" w:ascii="宋体" w:hAnsi="宋体"/>
                <w:color w:val="000000"/>
                <w:sz w:val="28"/>
                <w:szCs w:val="28"/>
              </w:rPr>
              <w:t xml:space="preserve">      22.92 </w:t>
            </w:r>
          </w:p>
        </w:tc>
      </w:tr>
      <w:tr>
        <w:tblPrEx>
          <w:tblCellMar>
            <w:top w:w="0" w:type="dxa"/>
            <w:left w:w="108" w:type="dxa"/>
            <w:bottom w:w="0" w:type="dxa"/>
            <w:right w:w="108" w:type="dxa"/>
          </w:tblCellMar>
        </w:tblPrEx>
        <w:trPr>
          <w:trHeight w:val="624" w:hRule="atLeast"/>
        </w:trPr>
        <w:tc>
          <w:tcPr>
            <w:tcW w:w="706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8"/>
                <w:szCs w:val="28"/>
              </w:rPr>
            </w:pPr>
            <w:r>
              <w:rPr>
                <w:rFonts w:hint="eastAsia" w:ascii="宋体" w:hAnsi="宋体"/>
                <w:color w:val="000000"/>
                <w:sz w:val="28"/>
                <w:szCs w:val="28"/>
              </w:rPr>
              <w:t>支付钟宅西二路精细化管理样板街提升改造工程测绘款</w:t>
            </w:r>
          </w:p>
        </w:tc>
        <w:tc>
          <w:tcPr>
            <w:tcW w:w="284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28"/>
                <w:szCs w:val="28"/>
              </w:rPr>
            </w:pPr>
            <w:r>
              <w:rPr>
                <w:rFonts w:hint="eastAsia" w:ascii="宋体" w:hAnsi="宋体"/>
                <w:color w:val="000000"/>
                <w:sz w:val="28"/>
                <w:szCs w:val="28"/>
              </w:rPr>
              <w:t xml:space="preserve">        0.30 </w:t>
            </w:r>
          </w:p>
        </w:tc>
      </w:tr>
      <w:tr>
        <w:tblPrEx>
          <w:tblCellMar>
            <w:top w:w="0" w:type="dxa"/>
            <w:left w:w="108" w:type="dxa"/>
            <w:bottom w:w="0" w:type="dxa"/>
            <w:right w:w="108" w:type="dxa"/>
          </w:tblCellMar>
        </w:tblPrEx>
        <w:trPr>
          <w:trHeight w:val="624" w:hRule="atLeast"/>
        </w:trPr>
        <w:tc>
          <w:tcPr>
            <w:tcW w:w="706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 w:val="28"/>
                <w:szCs w:val="28"/>
              </w:rPr>
            </w:pPr>
            <w:r>
              <w:rPr>
                <w:rFonts w:hint="eastAsia" w:ascii="宋体" w:hAnsi="宋体" w:cs="宋体"/>
                <w:b/>
                <w:bCs/>
                <w:color w:val="000000"/>
                <w:kern w:val="0"/>
                <w:sz w:val="28"/>
                <w:szCs w:val="28"/>
              </w:rPr>
              <w:t>合计</w:t>
            </w:r>
          </w:p>
        </w:tc>
        <w:tc>
          <w:tcPr>
            <w:tcW w:w="284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b/>
                <w:bCs/>
                <w:color w:val="000000"/>
                <w:kern w:val="0"/>
                <w:sz w:val="28"/>
                <w:szCs w:val="28"/>
              </w:rPr>
            </w:pPr>
            <w:r>
              <w:rPr>
                <w:rFonts w:ascii="宋体" w:hAnsi="宋体" w:cs="宋体"/>
                <w:b/>
                <w:bCs/>
                <w:color w:val="000000"/>
                <w:kern w:val="0"/>
                <w:sz w:val="28"/>
                <w:szCs w:val="28"/>
              </w:rPr>
              <w:t>278.57</w:t>
            </w:r>
          </w:p>
        </w:tc>
      </w:tr>
    </w:tbl>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分配标准、程序</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根据《厦门市湖里区禾山街道工作委员会会议纪要》、签订的街区改造合同的规定拨付经费。</w:t>
      </w:r>
    </w:p>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资金管控情况</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本项目资金严格按预算规定用途使用，支出程序、结算手续严格按现行财政项目资金管理有关要求，保证专项资金的安全有效使用和资金支付程序、手续完备。</w:t>
      </w:r>
    </w:p>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支出政策执行</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本项目严格按照厦门市城市综合管理委员会办公室关于印发《厦门市沿街店面适当跨店经营管理指导意见》的通知（厦城管办〔2022〕1</w:t>
      </w:r>
      <w:r>
        <w:rPr>
          <w:rFonts w:ascii="宋体" w:hAnsi="宋体"/>
          <w:bCs/>
          <w:kern w:val="44"/>
          <w:sz w:val="28"/>
          <w:szCs w:val="28"/>
        </w:rPr>
        <w:t>4</w:t>
      </w:r>
      <w:r>
        <w:rPr>
          <w:rFonts w:hint="eastAsia" w:ascii="宋体" w:hAnsi="宋体"/>
          <w:bCs/>
          <w:kern w:val="44"/>
          <w:sz w:val="28"/>
          <w:szCs w:val="28"/>
        </w:rPr>
        <w:t>号）、厦门市城市综合管理委员会办公室关于印发《开展“门前三包”落实年活动工作方案》的通知（厦城管办〔2022〕1</w:t>
      </w:r>
      <w:r>
        <w:rPr>
          <w:rFonts w:ascii="宋体" w:hAnsi="宋体"/>
          <w:bCs/>
          <w:kern w:val="44"/>
          <w:sz w:val="28"/>
          <w:szCs w:val="28"/>
        </w:rPr>
        <w:t>8</w:t>
      </w:r>
      <w:r>
        <w:rPr>
          <w:rFonts w:hint="eastAsia" w:ascii="宋体" w:hAnsi="宋体"/>
          <w:bCs/>
          <w:kern w:val="44"/>
          <w:sz w:val="28"/>
          <w:szCs w:val="28"/>
        </w:rPr>
        <w:t>号）、（</w:t>
      </w:r>
      <w:r>
        <w:rPr>
          <w:rFonts w:ascii="宋体" w:hAnsi="宋体"/>
          <w:bCs/>
          <w:kern w:val="44"/>
          <w:sz w:val="28"/>
          <w:szCs w:val="28"/>
        </w:rPr>
        <w:t>3</w:t>
      </w:r>
      <w:r>
        <w:rPr>
          <w:rFonts w:hint="eastAsia" w:ascii="宋体" w:hAnsi="宋体"/>
          <w:bCs/>
          <w:kern w:val="44"/>
          <w:sz w:val="28"/>
          <w:szCs w:val="28"/>
        </w:rPr>
        <w:t>）厦门市城市综合管理委员会办公室关于印发《厦门市城市精细化管理考评方案（2022年版）》的通知（厦城管办〔2022〕19号）、《厦门市湖里区禾山街道工作委员会会议纪要》文件</w:t>
      </w:r>
      <w:r>
        <w:rPr>
          <w:rFonts w:ascii="宋体" w:hAnsi="宋体"/>
          <w:bCs/>
          <w:kern w:val="44"/>
          <w:sz w:val="28"/>
          <w:szCs w:val="28"/>
        </w:rPr>
        <w:t>执行</w:t>
      </w:r>
      <w:r>
        <w:rPr>
          <w:rFonts w:hint="eastAsia" w:ascii="宋体" w:hAnsi="宋体"/>
          <w:bCs/>
          <w:kern w:val="44"/>
          <w:sz w:val="28"/>
          <w:szCs w:val="28"/>
        </w:rPr>
        <w:t>。</w:t>
      </w:r>
    </w:p>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支出分担体制</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本项目资金由区财政承担。</w:t>
      </w:r>
    </w:p>
    <w:p>
      <w:pPr>
        <w:pStyle w:val="5"/>
        <w:spacing w:line="560" w:lineRule="exact"/>
        <w:ind w:firstLine="562"/>
        <w:rPr>
          <w:rFonts w:ascii="宋体" w:hAnsi="宋体" w:eastAsia="宋体"/>
          <w:b/>
          <w:bCs w:val="0"/>
          <w:szCs w:val="28"/>
        </w:rPr>
      </w:pPr>
      <w:r>
        <w:rPr>
          <w:rFonts w:hint="eastAsia" w:ascii="宋体" w:hAnsi="宋体" w:eastAsia="宋体"/>
          <w:b/>
          <w:bCs w:val="0"/>
          <w:szCs w:val="28"/>
        </w:rPr>
        <w:t>二、绩效分析</w:t>
      </w:r>
    </w:p>
    <w:p>
      <w:pPr>
        <w:pStyle w:val="5"/>
        <w:spacing w:line="600" w:lineRule="exact"/>
        <w:ind w:firstLine="562"/>
        <w:rPr>
          <w:rFonts w:ascii="宋体" w:hAnsi="宋体" w:eastAsia="宋体"/>
          <w:b/>
          <w:kern w:val="44"/>
          <w:szCs w:val="28"/>
        </w:rPr>
      </w:pPr>
      <w:r>
        <w:rPr>
          <w:rFonts w:hint="eastAsia" w:ascii="宋体" w:hAnsi="宋体" w:eastAsia="宋体"/>
          <w:b/>
          <w:kern w:val="44"/>
          <w:szCs w:val="28"/>
        </w:rPr>
        <w:t>（一）项目效益分析</w:t>
      </w:r>
    </w:p>
    <w:p>
      <w:pPr>
        <w:spacing w:line="560" w:lineRule="exact"/>
        <w:ind w:firstLine="632" w:firstLineChars="225"/>
        <w:rPr>
          <w:rFonts w:ascii="宋体" w:hAnsi="宋体"/>
          <w:b/>
          <w:kern w:val="44"/>
          <w:sz w:val="28"/>
          <w:szCs w:val="28"/>
        </w:rPr>
      </w:pPr>
      <w:r>
        <w:rPr>
          <w:rFonts w:ascii="宋体" w:hAnsi="宋体"/>
          <w:b/>
          <w:kern w:val="44"/>
          <w:sz w:val="28"/>
          <w:szCs w:val="28"/>
        </w:rPr>
        <w:t>1</w:t>
      </w:r>
      <w:r>
        <w:rPr>
          <w:rFonts w:hint="eastAsia" w:ascii="宋体" w:hAnsi="宋体"/>
          <w:b/>
          <w:kern w:val="44"/>
          <w:sz w:val="28"/>
          <w:szCs w:val="28"/>
        </w:rPr>
        <w:t>、任务完成情况及绩效目标实现情况</w:t>
      </w:r>
    </w:p>
    <w:p>
      <w:pPr>
        <w:spacing w:line="560" w:lineRule="exact"/>
        <w:ind w:firstLine="630" w:firstLineChars="225"/>
        <w:rPr>
          <w:rFonts w:ascii="宋体" w:hAnsi="宋体"/>
          <w:bCs/>
          <w:kern w:val="44"/>
          <w:sz w:val="28"/>
          <w:szCs w:val="28"/>
        </w:rPr>
      </w:pPr>
      <w:r>
        <w:rPr>
          <w:rFonts w:hint="eastAsia" w:ascii="宋体" w:hAnsi="宋体"/>
          <w:bCs/>
          <w:kern w:val="44"/>
          <w:sz w:val="28"/>
          <w:szCs w:val="28"/>
        </w:rPr>
        <w:t>截至202</w:t>
      </w:r>
      <w:r>
        <w:rPr>
          <w:rFonts w:ascii="宋体" w:hAnsi="宋体"/>
          <w:bCs/>
          <w:kern w:val="44"/>
          <w:sz w:val="28"/>
          <w:szCs w:val="28"/>
        </w:rPr>
        <w:t>2</w:t>
      </w:r>
      <w:r>
        <w:rPr>
          <w:rFonts w:hint="eastAsia" w:ascii="宋体" w:hAnsi="宋体"/>
          <w:bCs/>
          <w:kern w:val="44"/>
          <w:sz w:val="28"/>
          <w:szCs w:val="28"/>
        </w:rPr>
        <w:t>年12月，本项目共支出</w:t>
      </w:r>
      <w:r>
        <w:rPr>
          <w:rFonts w:ascii="宋体" w:hAnsi="宋体"/>
          <w:bCs/>
          <w:kern w:val="44"/>
          <w:sz w:val="28"/>
          <w:szCs w:val="28"/>
        </w:rPr>
        <w:t>278.57</w:t>
      </w:r>
      <w:r>
        <w:rPr>
          <w:rFonts w:hint="eastAsia" w:ascii="宋体" w:hAnsi="宋体"/>
          <w:bCs/>
          <w:kern w:val="44"/>
          <w:sz w:val="28"/>
          <w:szCs w:val="28"/>
        </w:rPr>
        <w:t>万元，支出率</w:t>
      </w:r>
      <w:r>
        <w:rPr>
          <w:rFonts w:ascii="宋体" w:hAnsi="宋体"/>
          <w:bCs/>
          <w:kern w:val="44"/>
          <w:sz w:val="28"/>
          <w:szCs w:val="28"/>
        </w:rPr>
        <w:t>99.49%</w:t>
      </w:r>
      <w:r>
        <w:rPr>
          <w:rFonts w:hint="eastAsia" w:ascii="宋体" w:hAnsi="宋体"/>
          <w:bCs/>
          <w:kern w:val="44"/>
          <w:sz w:val="28"/>
          <w:szCs w:val="28"/>
        </w:rPr>
        <w:t>。</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1）按照“一店一档”管理要求，运用“门前三包”管理系统，结合常态网格巡查，落实两书一牌工作，做到“两书一牌”的签订和悬挂全覆盖。建设“门前三包”示范路段24条，收集录入辖区内主次干道临街商户内“门前三包”责任人基础数据7890家。</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w:t>
      </w:r>
      <w:r>
        <w:rPr>
          <w:rFonts w:ascii="宋体" w:hAnsi="宋体"/>
          <w:bCs/>
          <w:kern w:val="44"/>
          <w:sz w:val="28"/>
          <w:szCs w:val="28"/>
        </w:rPr>
        <w:t>2</w:t>
      </w:r>
      <w:r>
        <w:rPr>
          <w:rFonts w:hint="eastAsia" w:ascii="宋体" w:hAnsi="宋体"/>
          <w:bCs/>
          <w:kern w:val="44"/>
          <w:sz w:val="28"/>
          <w:szCs w:val="28"/>
        </w:rPr>
        <w:t>）因地制宜，疏堵结合，根据《湖里区沿街店面适当跨店经营工作方案》，对照管理标准，严格落实禁设区、限设区、常设区要求，规范施划适当跨店经营管理线涵盖9个社区，2946户商家，签订适当跨店经营承诺书，悬挂适当跨店经营公示卡。</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w:t>
      </w:r>
      <w:r>
        <w:rPr>
          <w:rFonts w:ascii="宋体" w:hAnsi="宋体"/>
          <w:bCs/>
          <w:kern w:val="44"/>
          <w:sz w:val="28"/>
          <w:szCs w:val="28"/>
        </w:rPr>
        <w:t>3</w:t>
      </w:r>
      <w:r>
        <w:rPr>
          <w:rFonts w:hint="eastAsia" w:ascii="宋体" w:hAnsi="宋体"/>
          <w:bCs/>
          <w:kern w:val="44"/>
          <w:sz w:val="28"/>
          <w:szCs w:val="28"/>
        </w:rPr>
        <w:t>）加强宣传全面引导，打造精细化管理示范街。根据实际情况，联合物业深入小区和商户，定期开展形式多样的“门前三包”宣传活动。“门前三包”线上+线下共计宣传53次，促进责任主体“门前三包”知晓率达100%；打造1条精细化管理示范街（钟宅西二路），通过典型引路带动其他街区管理水平提升。</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w:t>
      </w:r>
      <w:r>
        <w:rPr>
          <w:rFonts w:ascii="宋体" w:hAnsi="宋体"/>
          <w:bCs/>
          <w:kern w:val="44"/>
          <w:sz w:val="28"/>
          <w:szCs w:val="28"/>
        </w:rPr>
        <w:t>4</w:t>
      </w:r>
      <w:r>
        <w:rPr>
          <w:rFonts w:hint="eastAsia" w:ascii="宋体" w:hAnsi="宋体"/>
          <w:bCs/>
          <w:kern w:val="44"/>
          <w:sz w:val="28"/>
          <w:szCs w:val="28"/>
        </w:rPr>
        <w:t>）</w:t>
      </w:r>
      <w:r>
        <w:rPr>
          <w:rFonts w:ascii="宋体" w:hAnsi="宋体"/>
          <w:bCs/>
          <w:kern w:val="44"/>
          <w:sz w:val="28"/>
          <w:szCs w:val="28"/>
        </w:rPr>
        <w:t>组织开展城中村容貌专项整治，结合老旧小区和旧村改造工作，加强城中村环境卫生管理，加大城中村市容秩序整治力度，补齐城中村市容环境和设施建设短板。共计对136条道路绿化带安排覆盖清理，对76个</w:t>
      </w:r>
      <w:r>
        <w:rPr>
          <w:rFonts w:hint="eastAsia" w:ascii="宋体" w:hAnsi="宋体"/>
          <w:bCs/>
          <w:kern w:val="44"/>
          <w:sz w:val="28"/>
          <w:szCs w:val="28"/>
        </w:rPr>
        <w:t>雨箅子</w:t>
      </w:r>
      <w:r>
        <w:rPr>
          <w:rFonts w:ascii="宋体" w:hAnsi="宋体"/>
          <w:bCs/>
          <w:kern w:val="44"/>
          <w:sz w:val="28"/>
          <w:szCs w:val="28"/>
        </w:rPr>
        <w:t>、274个窨井盖进行整治，清洗了217个路名牌、254个宣传栏及23座天桥、地下通道;加强“三乱”及卫生死角整治工作,清理“三乱”问题4511处,清理、清洗台阶夹角处残留泥土等死角174处</w:t>
      </w:r>
      <w:r>
        <w:rPr>
          <w:rFonts w:hint="eastAsia" w:ascii="宋体" w:hAnsi="宋体"/>
          <w:bCs/>
          <w:kern w:val="44"/>
          <w:sz w:val="28"/>
          <w:szCs w:val="28"/>
        </w:rPr>
        <w:t>。</w:t>
      </w:r>
      <w:bookmarkStart w:id="1" w:name="_GoBack"/>
      <w:bookmarkEnd w:id="1"/>
    </w:p>
    <w:p>
      <w:pPr>
        <w:spacing w:line="560" w:lineRule="exact"/>
        <w:ind w:firstLine="632" w:firstLineChars="225"/>
        <w:rPr>
          <w:rFonts w:ascii="宋体" w:hAnsi="宋体"/>
          <w:b/>
          <w:bCs/>
          <w:kern w:val="44"/>
          <w:sz w:val="28"/>
          <w:szCs w:val="28"/>
        </w:rPr>
      </w:pPr>
      <w:r>
        <w:rPr>
          <w:rFonts w:ascii="宋体" w:hAnsi="宋体"/>
          <w:b/>
          <w:bCs/>
          <w:kern w:val="44"/>
          <w:sz w:val="28"/>
          <w:szCs w:val="28"/>
        </w:rPr>
        <w:t>2</w:t>
      </w:r>
      <w:r>
        <w:rPr>
          <w:rFonts w:hint="eastAsia" w:ascii="宋体" w:hAnsi="宋体"/>
          <w:b/>
          <w:bCs/>
          <w:kern w:val="44"/>
          <w:sz w:val="28"/>
          <w:szCs w:val="28"/>
        </w:rPr>
        <w:t>、项目实施带动的经济效益、社会效益、可持续效益</w:t>
      </w:r>
    </w:p>
    <w:p>
      <w:pPr>
        <w:spacing w:line="560" w:lineRule="exact"/>
        <w:ind w:firstLine="630" w:firstLineChars="225"/>
        <w:rPr>
          <w:rFonts w:ascii="宋体" w:hAnsi="宋体"/>
          <w:kern w:val="44"/>
          <w:sz w:val="28"/>
          <w:szCs w:val="28"/>
        </w:rPr>
      </w:pPr>
      <w:r>
        <w:rPr>
          <w:rFonts w:hint="eastAsia" w:ascii="宋体" w:hAnsi="宋体"/>
          <w:kern w:val="44"/>
          <w:sz w:val="28"/>
          <w:szCs w:val="28"/>
        </w:rPr>
        <w:t>精细化管理的实施，如“门前三包”专项整治行动，</w:t>
      </w:r>
      <w:r>
        <w:rPr>
          <w:rFonts w:ascii="宋体" w:hAnsi="宋体"/>
          <w:kern w:val="44"/>
          <w:sz w:val="28"/>
          <w:szCs w:val="28"/>
        </w:rPr>
        <w:t>既满足市容市貌规范管理的需要，又兼顾商户的需求</w:t>
      </w:r>
      <w:r>
        <w:rPr>
          <w:rFonts w:hint="eastAsia" w:ascii="宋体" w:hAnsi="宋体"/>
          <w:kern w:val="44"/>
          <w:sz w:val="28"/>
          <w:szCs w:val="28"/>
        </w:rPr>
        <w:t>。进一步凝聚全民合力，打造和谐宜居、人民满意的文明城区，共同维护“高颜值”的市容市貌，共同营造“高素质”的文明氛围。</w:t>
      </w:r>
    </w:p>
    <w:p>
      <w:pPr>
        <w:spacing w:line="560" w:lineRule="exact"/>
        <w:ind w:firstLine="632" w:firstLineChars="225"/>
        <w:rPr>
          <w:rFonts w:ascii="宋体" w:hAnsi="宋体"/>
          <w:b/>
          <w:bCs/>
          <w:kern w:val="44"/>
          <w:sz w:val="28"/>
          <w:szCs w:val="28"/>
        </w:rPr>
      </w:pPr>
      <w:r>
        <w:rPr>
          <w:rFonts w:ascii="宋体" w:hAnsi="宋体"/>
          <w:b/>
          <w:bCs/>
          <w:kern w:val="44"/>
          <w:sz w:val="28"/>
          <w:szCs w:val="28"/>
        </w:rPr>
        <w:t>3</w:t>
      </w:r>
      <w:r>
        <w:rPr>
          <w:rFonts w:hint="eastAsia" w:ascii="宋体" w:hAnsi="宋体"/>
          <w:b/>
          <w:bCs/>
          <w:kern w:val="44"/>
          <w:sz w:val="28"/>
          <w:szCs w:val="28"/>
        </w:rPr>
        <w:t>、项目实施带动的公众满意度</w:t>
      </w:r>
    </w:p>
    <w:p>
      <w:pPr>
        <w:spacing w:line="560" w:lineRule="exact"/>
        <w:ind w:firstLine="630" w:firstLineChars="225"/>
        <w:rPr>
          <w:rFonts w:ascii="宋体" w:hAnsi="宋体"/>
          <w:kern w:val="44"/>
          <w:sz w:val="28"/>
          <w:szCs w:val="28"/>
        </w:rPr>
      </w:pPr>
      <w:r>
        <w:rPr>
          <w:rFonts w:hint="eastAsia" w:ascii="宋体" w:hAnsi="宋体" w:cs="仿宋_GB2312"/>
          <w:kern w:val="44"/>
          <w:sz w:val="28"/>
          <w:szCs w:val="28"/>
        </w:rPr>
        <w:t>公众满意度</w:t>
      </w:r>
      <w:r>
        <w:rPr>
          <w:rFonts w:hint="eastAsia" w:ascii="宋体" w:hAnsi="宋体"/>
          <w:kern w:val="44"/>
          <w:sz w:val="28"/>
          <w:szCs w:val="28"/>
        </w:rPr>
        <w:t>≧95。</w:t>
      </w:r>
    </w:p>
    <w:p>
      <w:pPr>
        <w:pStyle w:val="5"/>
        <w:spacing w:line="560" w:lineRule="exact"/>
        <w:ind w:firstLine="562"/>
        <w:rPr>
          <w:rFonts w:ascii="宋体" w:hAnsi="宋体" w:eastAsia="宋体"/>
          <w:b/>
          <w:kern w:val="44"/>
          <w:szCs w:val="28"/>
        </w:rPr>
      </w:pPr>
      <w:r>
        <w:rPr>
          <w:rFonts w:hint="eastAsia" w:ascii="宋体" w:hAnsi="宋体" w:eastAsia="宋体"/>
          <w:b/>
          <w:kern w:val="44"/>
          <w:szCs w:val="28"/>
        </w:rPr>
        <w:t>（二）支出效益分析。</w:t>
      </w:r>
    </w:p>
    <w:p>
      <w:pPr>
        <w:pStyle w:val="5"/>
        <w:spacing w:line="560" w:lineRule="exact"/>
        <w:ind w:firstLine="562"/>
        <w:rPr>
          <w:rFonts w:ascii="宋体" w:hAnsi="宋体" w:eastAsia="宋体"/>
          <w:b/>
          <w:bCs w:val="0"/>
          <w:kern w:val="44"/>
          <w:szCs w:val="28"/>
        </w:rPr>
      </w:pPr>
      <w:r>
        <w:rPr>
          <w:rFonts w:hint="eastAsia" w:ascii="宋体" w:hAnsi="宋体" w:eastAsia="宋体"/>
          <w:b/>
          <w:bCs w:val="0"/>
          <w:kern w:val="44"/>
          <w:szCs w:val="28"/>
        </w:rPr>
        <w:t>1、支出进度</w:t>
      </w:r>
    </w:p>
    <w:p>
      <w:pPr>
        <w:spacing w:line="560" w:lineRule="exact"/>
        <w:ind w:firstLine="630" w:firstLineChars="225"/>
        <w:rPr>
          <w:rFonts w:ascii="宋体" w:hAnsi="宋体"/>
          <w:kern w:val="44"/>
          <w:sz w:val="28"/>
          <w:szCs w:val="28"/>
        </w:rPr>
      </w:pPr>
      <w:r>
        <w:rPr>
          <w:rFonts w:hint="eastAsia" w:ascii="宋体" w:hAnsi="宋体"/>
          <w:kern w:val="44"/>
          <w:sz w:val="28"/>
          <w:szCs w:val="28"/>
        </w:rPr>
        <w:t>202</w:t>
      </w:r>
      <w:r>
        <w:rPr>
          <w:rFonts w:ascii="宋体" w:hAnsi="宋体"/>
          <w:kern w:val="44"/>
          <w:sz w:val="28"/>
          <w:szCs w:val="28"/>
        </w:rPr>
        <w:t>2</w:t>
      </w:r>
      <w:r>
        <w:rPr>
          <w:rFonts w:hint="eastAsia" w:ascii="宋体" w:hAnsi="宋体"/>
          <w:kern w:val="44"/>
          <w:sz w:val="28"/>
          <w:szCs w:val="28"/>
        </w:rPr>
        <w:t>年本项目</w:t>
      </w:r>
      <w:r>
        <w:rPr>
          <w:rFonts w:hint="eastAsia" w:ascii="宋体" w:hAnsi="宋体"/>
          <w:bCs/>
          <w:kern w:val="44"/>
          <w:sz w:val="28"/>
          <w:szCs w:val="28"/>
        </w:rPr>
        <w:t>年初预算</w:t>
      </w:r>
      <w:r>
        <w:rPr>
          <w:rFonts w:ascii="宋体" w:hAnsi="宋体"/>
          <w:bCs/>
          <w:kern w:val="44"/>
          <w:sz w:val="28"/>
          <w:szCs w:val="28"/>
        </w:rPr>
        <w:t>100.00</w:t>
      </w:r>
      <w:r>
        <w:rPr>
          <w:rFonts w:hint="eastAsia" w:ascii="宋体" w:hAnsi="宋体"/>
          <w:bCs/>
          <w:kern w:val="44"/>
          <w:sz w:val="28"/>
          <w:szCs w:val="28"/>
        </w:rPr>
        <w:t>万元，预算追加</w:t>
      </w:r>
      <w:r>
        <w:rPr>
          <w:rFonts w:ascii="宋体" w:hAnsi="宋体"/>
          <w:bCs/>
          <w:kern w:val="44"/>
          <w:sz w:val="28"/>
          <w:szCs w:val="28"/>
        </w:rPr>
        <w:t>180.00</w:t>
      </w:r>
      <w:r>
        <w:rPr>
          <w:rFonts w:hint="eastAsia" w:ascii="宋体" w:hAnsi="宋体"/>
          <w:bCs/>
          <w:kern w:val="44"/>
          <w:sz w:val="28"/>
          <w:szCs w:val="28"/>
        </w:rPr>
        <w:t>万元，总预算</w:t>
      </w:r>
      <w:r>
        <w:rPr>
          <w:rFonts w:ascii="宋体" w:hAnsi="宋体"/>
          <w:bCs/>
          <w:kern w:val="44"/>
          <w:sz w:val="28"/>
          <w:szCs w:val="28"/>
        </w:rPr>
        <w:t>280.00</w:t>
      </w:r>
      <w:r>
        <w:rPr>
          <w:rFonts w:hint="eastAsia" w:ascii="宋体" w:hAnsi="宋体"/>
          <w:bCs/>
          <w:kern w:val="44"/>
          <w:sz w:val="28"/>
          <w:szCs w:val="28"/>
        </w:rPr>
        <w:t>万元，</w:t>
      </w:r>
      <w:r>
        <w:rPr>
          <w:rFonts w:hint="eastAsia" w:ascii="宋体" w:hAnsi="宋体"/>
          <w:kern w:val="44"/>
          <w:sz w:val="28"/>
          <w:szCs w:val="28"/>
        </w:rPr>
        <w:t>实际授权支付数</w:t>
      </w:r>
      <w:r>
        <w:rPr>
          <w:rFonts w:ascii="宋体" w:hAnsi="宋体"/>
          <w:bCs/>
          <w:kern w:val="44"/>
          <w:sz w:val="28"/>
          <w:szCs w:val="28"/>
        </w:rPr>
        <w:t>278.57</w:t>
      </w:r>
      <w:r>
        <w:rPr>
          <w:rFonts w:hint="eastAsia" w:ascii="宋体" w:hAnsi="宋体"/>
          <w:kern w:val="44"/>
          <w:sz w:val="28"/>
          <w:szCs w:val="28"/>
        </w:rPr>
        <w:t>万元，</w:t>
      </w:r>
      <w:r>
        <w:rPr>
          <w:rFonts w:hint="eastAsia" w:ascii="宋体" w:hAnsi="宋体"/>
          <w:bCs/>
          <w:kern w:val="44"/>
          <w:sz w:val="28"/>
          <w:szCs w:val="28"/>
        </w:rPr>
        <w:t>支出率</w:t>
      </w:r>
      <w:r>
        <w:rPr>
          <w:rFonts w:ascii="宋体" w:hAnsi="宋体"/>
          <w:bCs/>
          <w:kern w:val="44"/>
          <w:sz w:val="28"/>
          <w:szCs w:val="28"/>
        </w:rPr>
        <w:t>99.49%</w:t>
      </w:r>
      <w:r>
        <w:rPr>
          <w:rFonts w:hint="eastAsia" w:ascii="宋体" w:hAnsi="宋体"/>
          <w:kern w:val="44"/>
          <w:sz w:val="28"/>
          <w:szCs w:val="28"/>
        </w:rPr>
        <w:t>。</w:t>
      </w:r>
    </w:p>
    <w:p>
      <w:pPr>
        <w:pStyle w:val="5"/>
        <w:spacing w:line="560" w:lineRule="exact"/>
        <w:ind w:firstLine="562"/>
        <w:rPr>
          <w:rFonts w:ascii="宋体" w:hAnsi="宋体" w:eastAsia="宋体"/>
          <w:b/>
          <w:bCs w:val="0"/>
          <w:kern w:val="44"/>
          <w:szCs w:val="28"/>
        </w:rPr>
      </w:pPr>
      <w:r>
        <w:rPr>
          <w:rFonts w:hint="eastAsia" w:ascii="宋体" w:hAnsi="宋体" w:eastAsia="宋体"/>
          <w:b/>
          <w:bCs w:val="0"/>
          <w:kern w:val="44"/>
          <w:szCs w:val="28"/>
        </w:rPr>
        <w:t>2、支出效率</w:t>
      </w:r>
    </w:p>
    <w:p>
      <w:pPr>
        <w:spacing w:line="560" w:lineRule="exact"/>
        <w:ind w:firstLine="630" w:firstLineChars="225"/>
        <w:rPr>
          <w:rFonts w:ascii="宋体" w:hAnsi="宋体"/>
          <w:kern w:val="44"/>
          <w:sz w:val="28"/>
          <w:szCs w:val="28"/>
        </w:rPr>
      </w:pPr>
      <w:r>
        <w:rPr>
          <w:rFonts w:hint="eastAsia" w:ascii="宋体" w:hAnsi="宋体"/>
          <w:kern w:val="44"/>
          <w:sz w:val="28"/>
          <w:szCs w:val="28"/>
        </w:rPr>
        <w:t>截至202</w:t>
      </w:r>
      <w:r>
        <w:rPr>
          <w:rFonts w:ascii="宋体" w:hAnsi="宋体"/>
          <w:kern w:val="44"/>
          <w:sz w:val="28"/>
          <w:szCs w:val="28"/>
        </w:rPr>
        <w:t>2</w:t>
      </w:r>
      <w:r>
        <w:rPr>
          <w:rFonts w:hint="eastAsia" w:ascii="宋体" w:hAnsi="宋体"/>
          <w:kern w:val="44"/>
          <w:sz w:val="28"/>
          <w:szCs w:val="28"/>
        </w:rPr>
        <w:t>年12月，本项目已支出</w:t>
      </w:r>
      <w:r>
        <w:rPr>
          <w:rFonts w:ascii="宋体" w:hAnsi="宋体"/>
          <w:kern w:val="44"/>
          <w:sz w:val="28"/>
          <w:szCs w:val="28"/>
        </w:rPr>
        <w:t>278.57</w:t>
      </w:r>
      <w:r>
        <w:rPr>
          <w:rFonts w:hint="eastAsia" w:ascii="宋体" w:hAnsi="宋体"/>
          <w:kern w:val="44"/>
          <w:sz w:val="28"/>
          <w:szCs w:val="28"/>
        </w:rPr>
        <w:t>万元，经费下拨及时率100%。</w:t>
      </w:r>
    </w:p>
    <w:p>
      <w:pPr>
        <w:spacing w:line="440" w:lineRule="exact"/>
        <w:ind w:firstLine="562" w:firstLineChars="200"/>
        <w:rPr>
          <w:rFonts w:ascii="宋体" w:hAnsi="宋体" w:cs="仿宋_GB2312"/>
          <w:b/>
          <w:bCs/>
          <w:kern w:val="44"/>
          <w:sz w:val="28"/>
          <w:szCs w:val="28"/>
        </w:rPr>
      </w:pPr>
      <w:r>
        <w:rPr>
          <w:rFonts w:hint="eastAsia" w:ascii="宋体" w:hAnsi="宋体" w:cs="仿宋_GB2312"/>
          <w:b/>
          <w:bCs/>
          <w:sz w:val="28"/>
          <w:szCs w:val="28"/>
        </w:rPr>
        <w:t>3、</w:t>
      </w:r>
      <w:r>
        <w:rPr>
          <w:rFonts w:hint="eastAsia" w:ascii="宋体" w:hAnsi="宋体" w:cs="仿宋_GB2312"/>
          <w:b/>
          <w:bCs/>
          <w:kern w:val="44"/>
          <w:sz w:val="28"/>
          <w:szCs w:val="28"/>
        </w:rPr>
        <w:t>支出规范</w:t>
      </w:r>
    </w:p>
    <w:p>
      <w:pPr>
        <w:spacing w:line="560" w:lineRule="exact"/>
        <w:ind w:firstLine="560" w:firstLineChars="200"/>
        <w:rPr>
          <w:rFonts w:ascii="宋体" w:hAnsi="宋体"/>
          <w:kern w:val="44"/>
          <w:sz w:val="28"/>
          <w:szCs w:val="28"/>
        </w:rPr>
      </w:pPr>
      <w:r>
        <w:rPr>
          <w:rFonts w:hint="eastAsia" w:ascii="宋体" w:hAnsi="宋体"/>
          <w:kern w:val="44"/>
          <w:sz w:val="28"/>
          <w:szCs w:val="28"/>
        </w:rPr>
        <w:t>本项目严格按照文件标准实施，确保资金专项用于城管精细化管理项目，项目资金专款专用，无挪用其他。</w:t>
      </w:r>
    </w:p>
    <w:p>
      <w:pPr>
        <w:pStyle w:val="5"/>
        <w:spacing w:line="560" w:lineRule="exact"/>
        <w:ind w:firstLine="562"/>
        <w:rPr>
          <w:rFonts w:ascii="宋体" w:hAnsi="宋体" w:eastAsia="宋体"/>
          <w:b/>
          <w:bCs w:val="0"/>
          <w:kern w:val="44"/>
          <w:szCs w:val="28"/>
        </w:rPr>
      </w:pPr>
      <w:r>
        <w:rPr>
          <w:rFonts w:ascii="宋体" w:hAnsi="宋体" w:eastAsia="宋体"/>
          <w:b/>
          <w:bCs w:val="0"/>
          <w:kern w:val="44"/>
          <w:szCs w:val="28"/>
        </w:rPr>
        <w:t>4</w:t>
      </w:r>
      <w:r>
        <w:rPr>
          <w:rFonts w:hint="eastAsia" w:ascii="宋体" w:hAnsi="宋体" w:eastAsia="宋体"/>
          <w:b/>
          <w:bCs w:val="0"/>
          <w:kern w:val="44"/>
          <w:szCs w:val="28"/>
        </w:rPr>
        <w:t>、成本控制分析及效益情况</w:t>
      </w:r>
    </w:p>
    <w:p>
      <w:pPr>
        <w:spacing w:line="560" w:lineRule="exact"/>
        <w:ind w:firstLine="630" w:firstLineChars="225"/>
        <w:rPr>
          <w:rFonts w:ascii="宋体" w:hAnsi="宋体"/>
          <w:kern w:val="44"/>
          <w:sz w:val="28"/>
          <w:szCs w:val="28"/>
        </w:rPr>
      </w:pPr>
      <w:r>
        <w:rPr>
          <w:rFonts w:hint="eastAsia" w:ascii="宋体" w:hAnsi="宋体"/>
          <w:kern w:val="44"/>
          <w:sz w:val="28"/>
          <w:szCs w:val="28"/>
        </w:rPr>
        <w:t>区财政局通过国库集中支付系统分配下发本项目资金共计</w:t>
      </w:r>
      <w:r>
        <w:rPr>
          <w:rFonts w:ascii="宋体" w:hAnsi="宋体"/>
          <w:kern w:val="44"/>
          <w:sz w:val="28"/>
          <w:szCs w:val="28"/>
        </w:rPr>
        <w:t>280.00</w:t>
      </w:r>
      <w:r>
        <w:rPr>
          <w:rFonts w:hint="eastAsia" w:ascii="宋体" w:hAnsi="宋体"/>
          <w:kern w:val="44"/>
          <w:sz w:val="28"/>
          <w:szCs w:val="28"/>
        </w:rPr>
        <w:t>万元，禾山街道办事处按照项目工作计划，根据文件标准及工程合同约定条款支付项目款，严格控制经费支出，加强对项目资金的管理和监督工作，保证资金专款、专用、专户、专项核算，确保资金在项目中发挥出最大效益。</w:t>
      </w:r>
    </w:p>
    <w:p>
      <w:pPr>
        <w:spacing w:line="440" w:lineRule="exact"/>
        <w:ind w:firstLine="562" w:firstLineChars="200"/>
        <w:rPr>
          <w:rFonts w:ascii="宋体" w:hAnsi="宋体" w:cs="仿宋"/>
          <w:b/>
          <w:bCs/>
          <w:sz w:val="28"/>
          <w:szCs w:val="28"/>
        </w:rPr>
      </w:pPr>
      <w:r>
        <w:rPr>
          <w:rFonts w:hint="eastAsia" w:ascii="宋体" w:hAnsi="宋体" w:cs="仿宋"/>
          <w:b/>
          <w:bCs/>
          <w:sz w:val="28"/>
          <w:szCs w:val="28"/>
        </w:rPr>
        <w:t>（</w:t>
      </w:r>
      <w:r>
        <w:rPr>
          <w:rFonts w:hint="eastAsia" w:ascii="宋体" w:hAnsi="宋体"/>
          <w:b/>
          <w:bCs/>
          <w:kern w:val="44"/>
          <w:sz w:val="28"/>
          <w:szCs w:val="28"/>
        </w:rPr>
        <w:t>三）评价分值和等级</w:t>
      </w:r>
    </w:p>
    <w:p>
      <w:pPr>
        <w:spacing w:line="560" w:lineRule="exact"/>
        <w:ind w:firstLine="560" w:firstLineChars="200"/>
        <w:rPr>
          <w:rFonts w:ascii="宋体" w:hAnsi="宋体"/>
          <w:kern w:val="44"/>
          <w:sz w:val="28"/>
          <w:szCs w:val="28"/>
        </w:rPr>
      </w:pPr>
      <w:r>
        <w:rPr>
          <w:rFonts w:hint="eastAsia" w:ascii="宋体" w:hAnsi="宋体"/>
          <w:kern w:val="44"/>
          <w:sz w:val="28"/>
          <w:szCs w:val="28"/>
        </w:rPr>
        <w:t>根据上述分析，确定本项目绩效评价分值9</w:t>
      </w:r>
      <w:r>
        <w:rPr>
          <w:rFonts w:ascii="宋体" w:hAnsi="宋体"/>
          <w:kern w:val="44"/>
          <w:sz w:val="28"/>
          <w:szCs w:val="28"/>
        </w:rPr>
        <w:t>8</w:t>
      </w:r>
      <w:r>
        <w:rPr>
          <w:rFonts w:hint="eastAsia" w:ascii="宋体" w:hAnsi="宋体"/>
          <w:kern w:val="44"/>
          <w:sz w:val="28"/>
          <w:szCs w:val="28"/>
        </w:rPr>
        <w:t>分，等级为优。</w:t>
      </w:r>
    </w:p>
    <w:p>
      <w:pPr>
        <w:pStyle w:val="5"/>
        <w:spacing w:line="560" w:lineRule="exact"/>
        <w:ind w:firstLine="562"/>
        <w:rPr>
          <w:rFonts w:ascii="宋体" w:hAnsi="宋体" w:eastAsia="宋体"/>
          <w:b/>
          <w:bCs w:val="0"/>
          <w:szCs w:val="28"/>
        </w:rPr>
      </w:pPr>
      <w:r>
        <w:rPr>
          <w:rFonts w:hint="eastAsia" w:ascii="宋体" w:hAnsi="宋体" w:eastAsia="宋体"/>
          <w:b/>
          <w:bCs w:val="0"/>
          <w:szCs w:val="28"/>
        </w:rPr>
        <w:t>三、存在问题</w:t>
      </w:r>
    </w:p>
    <w:p>
      <w:pPr>
        <w:spacing w:line="560" w:lineRule="exact"/>
        <w:ind w:firstLine="645"/>
        <w:rPr>
          <w:rFonts w:ascii="宋体" w:hAnsi="宋体"/>
          <w:b/>
          <w:kern w:val="44"/>
          <w:sz w:val="28"/>
          <w:szCs w:val="28"/>
        </w:rPr>
      </w:pPr>
      <w:r>
        <w:rPr>
          <w:rFonts w:hint="eastAsia" w:ascii="宋体" w:hAnsi="宋体"/>
          <w:b/>
          <w:kern w:val="44"/>
          <w:sz w:val="28"/>
          <w:szCs w:val="28"/>
        </w:rPr>
        <w:t>（一）项目实施存在的问题</w:t>
      </w:r>
    </w:p>
    <w:p>
      <w:pPr>
        <w:spacing w:line="560" w:lineRule="exact"/>
        <w:ind w:firstLine="645"/>
        <w:rPr>
          <w:rFonts w:ascii="宋体" w:hAnsi="宋体"/>
          <w:kern w:val="44"/>
          <w:sz w:val="28"/>
          <w:szCs w:val="28"/>
        </w:rPr>
      </w:pPr>
      <w:r>
        <w:rPr>
          <w:rFonts w:hint="eastAsia" w:ascii="宋体" w:hAnsi="宋体"/>
          <w:kern w:val="44"/>
          <w:sz w:val="28"/>
          <w:szCs w:val="28"/>
        </w:rPr>
        <w:t>项目实施过程中，存在</w:t>
      </w:r>
      <w:r>
        <w:rPr>
          <w:rFonts w:hint="eastAsia" w:ascii="宋体" w:hAnsi="宋体"/>
          <w:bCs/>
          <w:kern w:val="44"/>
          <w:sz w:val="28"/>
          <w:szCs w:val="28"/>
        </w:rPr>
        <w:t>商家责任意识有待提高及</w:t>
      </w:r>
      <w:r>
        <w:rPr>
          <w:rFonts w:hint="eastAsia" w:ascii="宋体" w:hAnsi="宋体"/>
          <w:kern w:val="44"/>
          <w:sz w:val="28"/>
          <w:szCs w:val="28"/>
        </w:rPr>
        <w:t>失管、漏管的问题</w:t>
      </w:r>
      <w:r>
        <w:rPr>
          <w:rFonts w:hint="eastAsia" w:ascii="宋体" w:hAnsi="宋体"/>
          <w:bCs/>
          <w:kern w:val="44"/>
          <w:sz w:val="28"/>
          <w:szCs w:val="28"/>
        </w:rPr>
        <w:t>。沿街</w:t>
      </w:r>
      <w:r>
        <w:rPr>
          <w:rFonts w:ascii="宋体" w:hAnsi="宋体"/>
          <w:bCs/>
          <w:kern w:val="44"/>
          <w:sz w:val="28"/>
          <w:szCs w:val="28"/>
        </w:rPr>
        <w:t>店家</w:t>
      </w:r>
      <w:r>
        <w:rPr>
          <w:rFonts w:hint="eastAsia" w:ascii="宋体" w:hAnsi="宋体"/>
          <w:bCs/>
          <w:kern w:val="44"/>
          <w:sz w:val="28"/>
          <w:szCs w:val="28"/>
        </w:rPr>
        <w:t>外来人口多，人员流动大，整体素质参差不齐。虽然街道已全面开展“门前</w:t>
      </w:r>
      <w:r>
        <w:rPr>
          <w:rFonts w:ascii="宋体" w:hAnsi="宋体"/>
          <w:bCs/>
          <w:kern w:val="44"/>
          <w:sz w:val="28"/>
          <w:szCs w:val="28"/>
        </w:rPr>
        <w:t>三包</w:t>
      </w:r>
      <w:r>
        <w:rPr>
          <w:rFonts w:hint="eastAsia" w:ascii="宋体" w:hAnsi="宋体"/>
          <w:bCs/>
          <w:kern w:val="44"/>
          <w:sz w:val="28"/>
          <w:szCs w:val="28"/>
        </w:rPr>
        <w:t>”教育宣传，但是仍有部分店家态度差、配合度低。尤其</w:t>
      </w:r>
      <w:r>
        <w:rPr>
          <w:rFonts w:hint="eastAsia" w:ascii="宋体" w:hAnsi="宋体"/>
          <w:kern w:val="44"/>
          <w:sz w:val="28"/>
          <w:szCs w:val="28"/>
        </w:rPr>
        <w:t>“城中村”占道经营、流动摊贩多，商家面对巡查人员及执法队员能立即整改，待巡查人员离开后又恢复占道跨店经营、乱堆放等情况。 “门前三包”信息更新不及时，新旧店家信息未及时更替，部分商家及道路存在失管、漏管。</w:t>
      </w:r>
    </w:p>
    <w:p>
      <w:pPr>
        <w:spacing w:line="560" w:lineRule="exact"/>
        <w:ind w:firstLine="632" w:firstLineChars="225"/>
        <w:rPr>
          <w:rFonts w:ascii="宋体" w:hAnsi="宋体"/>
          <w:b/>
          <w:kern w:val="44"/>
          <w:sz w:val="28"/>
          <w:szCs w:val="28"/>
        </w:rPr>
      </w:pPr>
      <w:r>
        <w:rPr>
          <w:rFonts w:hint="eastAsia" w:ascii="宋体" w:hAnsi="宋体"/>
          <w:b/>
          <w:kern w:val="44"/>
          <w:sz w:val="28"/>
          <w:szCs w:val="28"/>
        </w:rPr>
        <w:t>（二）财政支出存在的问题</w:t>
      </w:r>
    </w:p>
    <w:p>
      <w:pPr>
        <w:spacing w:line="560" w:lineRule="exact"/>
        <w:ind w:firstLine="630" w:firstLineChars="225"/>
        <w:rPr>
          <w:rFonts w:ascii="宋体" w:hAnsi="宋体"/>
          <w:kern w:val="44"/>
          <w:sz w:val="28"/>
          <w:szCs w:val="28"/>
        </w:rPr>
      </w:pPr>
      <w:r>
        <w:rPr>
          <w:rFonts w:hint="eastAsia" w:ascii="宋体" w:hAnsi="宋体"/>
          <w:kern w:val="44"/>
          <w:sz w:val="28"/>
          <w:szCs w:val="28"/>
        </w:rPr>
        <w:t>本项目</w:t>
      </w:r>
      <w:r>
        <w:rPr>
          <w:rFonts w:hint="eastAsia" w:ascii="宋体" w:hAnsi="宋体"/>
          <w:bCs/>
          <w:kern w:val="44"/>
          <w:sz w:val="28"/>
          <w:szCs w:val="28"/>
        </w:rPr>
        <w:t>严格审核控制资金支出，根据文件要求以及财务管理制度规定下城管精细化管理经费，确保资金专款专用，财政支出不存在问</w:t>
      </w:r>
      <w:r>
        <w:rPr>
          <w:rFonts w:hint="eastAsia" w:ascii="宋体" w:hAnsi="宋体"/>
          <w:kern w:val="44"/>
          <w:sz w:val="28"/>
          <w:szCs w:val="28"/>
        </w:rPr>
        <w:t>题。</w:t>
      </w:r>
    </w:p>
    <w:p>
      <w:pPr>
        <w:spacing w:line="560" w:lineRule="exact"/>
        <w:ind w:firstLine="632" w:firstLineChars="225"/>
        <w:rPr>
          <w:rFonts w:ascii="宋体" w:hAnsi="宋体"/>
          <w:b/>
          <w:kern w:val="44"/>
          <w:sz w:val="28"/>
          <w:szCs w:val="28"/>
        </w:rPr>
      </w:pPr>
      <w:r>
        <w:rPr>
          <w:rFonts w:hint="eastAsia" w:ascii="宋体" w:hAnsi="宋体"/>
          <w:b/>
          <w:kern w:val="44"/>
          <w:sz w:val="28"/>
          <w:szCs w:val="28"/>
        </w:rPr>
        <w:t>（三）支出政策制定方面存在的问题</w:t>
      </w:r>
    </w:p>
    <w:p>
      <w:pPr>
        <w:spacing w:line="560" w:lineRule="exact"/>
        <w:ind w:firstLine="630" w:firstLineChars="225"/>
        <w:rPr>
          <w:rFonts w:ascii="宋体" w:hAnsi="宋体"/>
          <w:kern w:val="44"/>
          <w:sz w:val="28"/>
          <w:szCs w:val="28"/>
        </w:rPr>
      </w:pPr>
      <w:r>
        <w:rPr>
          <w:rFonts w:hint="eastAsia" w:ascii="宋体" w:hAnsi="宋体"/>
          <w:kern w:val="44"/>
          <w:sz w:val="28"/>
          <w:szCs w:val="28"/>
        </w:rPr>
        <w:t>本项目支出严格按照相关政策执行，项目资金符合预算确定的支出用途，不存在虚列项目支出的情况，支出合法合规，</w:t>
      </w:r>
      <w:r>
        <w:rPr>
          <w:rFonts w:hint="eastAsia" w:ascii="宋体" w:hAnsi="宋体"/>
          <w:bCs/>
          <w:kern w:val="44"/>
          <w:sz w:val="28"/>
          <w:szCs w:val="28"/>
        </w:rPr>
        <w:t>支出政策制定方面</w:t>
      </w:r>
      <w:r>
        <w:rPr>
          <w:rFonts w:hint="eastAsia" w:ascii="宋体" w:hAnsi="宋体"/>
          <w:kern w:val="44"/>
          <w:sz w:val="28"/>
          <w:szCs w:val="28"/>
        </w:rPr>
        <w:t>不存在问题。</w:t>
      </w:r>
    </w:p>
    <w:p>
      <w:pPr>
        <w:pStyle w:val="5"/>
        <w:spacing w:line="560" w:lineRule="exact"/>
        <w:ind w:firstLine="562"/>
        <w:rPr>
          <w:rFonts w:ascii="宋体" w:hAnsi="宋体" w:eastAsia="宋体"/>
          <w:b/>
          <w:bCs w:val="0"/>
          <w:szCs w:val="28"/>
        </w:rPr>
      </w:pPr>
      <w:r>
        <w:rPr>
          <w:rFonts w:hint="eastAsia" w:ascii="宋体" w:hAnsi="宋体" w:eastAsia="宋体"/>
          <w:b/>
          <w:bCs w:val="0"/>
          <w:szCs w:val="28"/>
        </w:rPr>
        <w:t>四、相关建议</w:t>
      </w:r>
    </w:p>
    <w:p>
      <w:pPr>
        <w:spacing w:line="560" w:lineRule="exact"/>
        <w:ind w:firstLine="630" w:firstLineChars="225"/>
        <w:rPr>
          <w:rFonts w:ascii="宋体" w:hAnsi="宋体"/>
          <w:kern w:val="44"/>
          <w:sz w:val="28"/>
          <w:szCs w:val="28"/>
        </w:rPr>
      </w:pPr>
      <w:r>
        <w:rPr>
          <w:rFonts w:hint="eastAsia" w:ascii="宋体" w:hAnsi="宋体"/>
          <w:kern w:val="44"/>
          <w:sz w:val="28"/>
          <w:szCs w:val="28"/>
        </w:rPr>
        <w:t>1、严格按照文件标准实施项目，认真开展年初绩效目标设定，年中绩效目标监控工作，及时足额发放经费，合理、合规使用项目资金，落实资金到位，保障项目顺利开展。</w:t>
      </w:r>
    </w:p>
    <w:p>
      <w:pPr>
        <w:adjustRightInd w:val="0"/>
        <w:snapToGrid w:val="0"/>
        <w:spacing w:line="560" w:lineRule="exact"/>
        <w:ind w:firstLine="560" w:firstLineChars="200"/>
        <w:outlineLvl w:val="0"/>
        <w:rPr>
          <w:rFonts w:ascii="宋体" w:hAnsi="宋体"/>
          <w:kern w:val="44"/>
          <w:sz w:val="28"/>
          <w:szCs w:val="28"/>
        </w:rPr>
      </w:pPr>
      <w:r>
        <w:rPr>
          <w:rFonts w:hint="eastAsia" w:ascii="宋体" w:hAnsi="宋体"/>
          <w:kern w:val="44"/>
          <w:sz w:val="28"/>
          <w:szCs w:val="28"/>
        </w:rPr>
        <w:t>2、进一法深入推进“门前三包”工作，拓宽公众参与城市管理渠道，让沿街商户，机关、企事业单位和个人都参与到社会治理工作。加强宣传发动，增强市民自我管理和环境责任意识。创新治理模式，完善治理机制，构建全社区“共谋，共建、共管、共评、共享”的良好局面，形成完善的城市管理长效机制，促进城市综合管理水平全面提升。</w:t>
      </w:r>
    </w:p>
    <w:p>
      <w:pPr>
        <w:pStyle w:val="5"/>
        <w:spacing w:line="560" w:lineRule="exact"/>
        <w:ind w:firstLine="562"/>
        <w:rPr>
          <w:rFonts w:ascii="宋体" w:hAnsi="宋体" w:eastAsia="宋体"/>
          <w:b/>
          <w:bCs w:val="0"/>
          <w:szCs w:val="28"/>
        </w:rPr>
      </w:pPr>
      <w:r>
        <w:rPr>
          <w:rFonts w:hint="eastAsia" w:ascii="宋体" w:hAnsi="宋体" w:eastAsia="宋体"/>
          <w:b/>
          <w:bCs w:val="0"/>
          <w:szCs w:val="28"/>
        </w:rPr>
        <w:t>五、下一步工作计划</w:t>
      </w:r>
    </w:p>
    <w:p>
      <w:pPr>
        <w:spacing w:line="560" w:lineRule="exact"/>
        <w:ind w:firstLine="630" w:firstLineChars="225"/>
        <w:rPr>
          <w:rFonts w:ascii="宋体" w:hAnsi="宋体"/>
          <w:kern w:val="44"/>
          <w:sz w:val="28"/>
          <w:szCs w:val="28"/>
        </w:rPr>
      </w:pPr>
      <w:r>
        <w:rPr>
          <w:rFonts w:ascii="宋体" w:hAnsi="宋体"/>
          <w:kern w:val="44"/>
          <w:sz w:val="28"/>
          <w:szCs w:val="28"/>
        </w:rPr>
        <w:t>1、</w:t>
      </w:r>
      <w:r>
        <w:rPr>
          <w:rFonts w:hint="eastAsia" w:ascii="宋体" w:hAnsi="宋体"/>
          <w:kern w:val="44"/>
          <w:sz w:val="28"/>
          <w:szCs w:val="28"/>
        </w:rPr>
        <w:t>坚持“门前三包”管理不松懈。充分认识到做好“门前三包”工作对于城市治理工作的重要性，明确街道、社区职责，整合现有巡防处突队伍、网格员、街道挂点人员力量，及时完善基础信息，加大网格监管力度。同时，树立先进典型、榜样带动作用，提高广大市民对该项工作的认识和理解，形成“美好家园、共建共享”的良好氛围。</w:t>
      </w:r>
    </w:p>
    <w:p>
      <w:pPr>
        <w:spacing w:line="560" w:lineRule="exact"/>
        <w:ind w:firstLine="630" w:firstLineChars="225"/>
        <w:rPr>
          <w:rFonts w:ascii="宋体" w:hAnsi="宋体"/>
          <w:bCs/>
          <w:kern w:val="44"/>
          <w:sz w:val="28"/>
          <w:szCs w:val="28"/>
        </w:rPr>
      </w:pPr>
      <w:r>
        <w:rPr>
          <w:rFonts w:hint="eastAsia" w:ascii="宋体" w:hAnsi="宋体"/>
          <w:kern w:val="44"/>
          <w:sz w:val="28"/>
          <w:szCs w:val="28"/>
        </w:rPr>
        <w:t>2、</w:t>
      </w:r>
      <w:r>
        <w:rPr>
          <w:rFonts w:hint="eastAsia" w:ascii="宋体" w:hAnsi="宋体"/>
          <w:bCs/>
          <w:kern w:val="44"/>
          <w:sz w:val="28"/>
          <w:szCs w:val="28"/>
        </w:rPr>
        <w:t>加大媒体曝光及处罚力度。通过通报等新闻媒介，对拒不落实、履行“门前三包”责任的商家进行曝光，通过强大的舆论声势、整治氛围，督促商家强力进行整改。严格按标准开展执法、处罚，努力形成高压姿态，从源头推进“门前三包”责任制落实到位。</w:t>
      </w:r>
    </w:p>
    <w:p>
      <w:pPr>
        <w:spacing w:line="560" w:lineRule="exact"/>
        <w:ind w:firstLine="630" w:firstLineChars="225"/>
        <w:rPr>
          <w:rFonts w:ascii="宋体" w:hAnsi="宋体"/>
          <w:kern w:val="44"/>
          <w:sz w:val="28"/>
          <w:szCs w:val="28"/>
        </w:rPr>
      </w:pPr>
      <w:r>
        <w:rPr>
          <w:rFonts w:ascii="宋体" w:hAnsi="宋体"/>
          <w:bCs/>
          <w:kern w:val="44"/>
          <w:sz w:val="28"/>
          <w:szCs w:val="28"/>
        </w:rPr>
        <w:t>3</w:t>
      </w:r>
      <w:r>
        <w:rPr>
          <w:rFonts w:hint="eastAsia" w:ascii="宋体" w:hAnsi="宋体"/>
          <w:bCs/>
          <w:kern w:val="44"/>
          <w:sz w:val="28"/>
          <w:szCs w:val="28"/>
        </w:rPr>
        <w:t>、整合多方力量，将门前三包结合适当跨店经营相结合。要充分发挥责任主体、实施主体 、执法主体、管理主体、监督主体 、自治主体等的作用，建立门前三包商家联盟，做好星级评定，以激励先进、鞭策后进。要将适当跨店经营工作与落实“门前三包”、城乡建设品质提升、全国文明典范城市创建等各项工作相结合。</w:t>
      </w:r>
    </w:p>
    <w:p>
      <w:pPr>
        <w:adjustRightInd w:val="0"/>
        <w:snapToGrid w:val="0"/>
        <w:spacing w:line="560" w:lineRule="exact"/>
        <w:ind w:firstLine="560" w:firstLineChars="200"/>
        <w:outlineLvl w:val="0"/>
        <w:rPr>
          <w:rFonts w:ascii="宋体" w:hAnsi="宋体"/>
          <w:kern w:val="44"/>
          <w:sz w:val="28"/>
          <w:szCs w:val="28"/>
        </w:rPr>
      </w:pPr>
    </w:p>
    <w:sectPr>
      <w:footerReference r:id="rId3" w:type="default"/>
      <w:footerReference r:id="rId4" w:type="even"/>
      <w:pgSz w:w="11906" w:h="16838"/>
      <w:pgMar w:top="1247" w:right="1247" w:bottom="1247" w:left="124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auto"/>
    <w:pitch w:val="default"/>
    <w:sig w:usb0="00000000" w:usb1="0000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简体">
    <w:altName w:val="微软雅黑"/>
    <w:panose1 w:val="00000000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85684456"/>
      <w:docPartObj>
        <w:docPartGallery w:val="autotext"/>
      </w:docPartObj>
    </w:sdtPr>
    <w:sdtContent>
      <w:p>
        <w:pPr>
          <w:pStyle w:val="3"/>
          <w:jc w:val="center"/>
        </w:pPr>
        <w:r>
          <w:fldChar w:fldCharType="begin"/>
        </w:r>
        <w:r>
          <w:instrText xml:space="preserve"> PAGE   \* MERGEFORMAT </w:instrText>
        </w:r>
        <w:r>
          <w:fldChar w:fldCharType="separate"/>
        </w:r>
        <w:r>
          <w:rPr>
            <w:lang w:val="zh-CN"/>
          </w:rPr>
          <w:t>2</w:t>
        </w:r>
        <w:r>
          <w:fldChar w:fldCharType="end"/>
        </w:r>
      </w:p>
    </w:sdtContent>
  </w:sdt>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9"/>
        <w:rFonts w:ascii="仿宋_GB2312" w:eastAsia="仿宋_GB2312"/>
        <w:sz w:val="28"/>
        <w:szCs w:val="28"/>
      </w:rPr>
    </w:pPr>
    <w:r>
      <w:rPr>
        <w:rStyle w:val="9"/>
        <w:rFonts w:hint="eastAsia" w:ascii="仿宋_GB2312" w:eastAsia="仿宋_GB2312"/>
        <w:sz w:val="28"/>
        <w:szCs w:val="28"/>
      </w:rPr>
      <w:fldChar w:fldCharType="begin"/>
    </w:r>
    <w:r>
      <w:rPr>
        <w:rStyle w:val="9"/>
        <w:rFonts w:hint="eastAsia" w:ascii="仿宋_GB2312" w:eastAsia="仿宋_GB2312"/>
        <w:sz w:val="28"/>
        <w:szCs w:val="28"/>
      </w:rPr>
      <w:instrText xml:space="preserve">PAGE  </w:instrText>
    </w:r>
    <w:r>
      <w:rPr>
        <w:rStyle w:val="9"/>
        <w:rFonts w:hint="eastAsia" w:ascii="仿宋_GB2312" w:eastAsia="仿宋_GB2312"/>
        <w:sz w:val="28"/>
        <w:szCs w:val="28"/>
      </w:rPr>
      <w:fldChar w:fldCharType="separate"/>
    </w:r>
    <w:r>
      <w:rPr>
        <w:rStyle w:val="9"/>
        <w:rFonts w:ascii="仿宋_GB2312" w:eastAsia="仿宋_GB2312"/>
        <w:sz w:val="28"/>
        <w:szCs w:val="28"/>
      </w:rPr>
      <w:t>- 6 -</w:t>
    </w:r>
    <w:r>
      <w:rPr>
        <w:rStyle w:val="9"/>
        <w:rFonts w:hint="eastAsia" w:ascii="仿宋_GB2312" w:eastAsia="仿宋_GB2312"/>
        <w:sz w:val="28"/>
        <w:szCs w:val="28"/>
      </w:rPr>
      <w:fldChar w:fldCharType="end"/>
    </w:r>
  </w:p>
  <w:p>
    <w:pPr>
      <w:pStyle w:val="3"/>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0F5476"/>
    <w:multiLevelType w:val="multilevel"/>
    <w:tmpl w:val="3C0F5476"/>
    <w:lvl w:ilvl="0" w:tentative="0">
      <w:start w:val="1"/>
      <w:numFmt w:val="decimal"/>
      <w:lvlText w:val="%1、"/>
      <w:lvlJc w:val="left"/>
      <w:pPr>
        <w:ind w:left="1150" w:hanging="510"/>
      </w:pPr>
      <w:rPr>
        <w:rFonts w:hint="default"/>
      </w:rPr>
    </w:lvl>
    <w:lvl w:ilvl="1" w:tentative="0">
      <w:start w:val="1"/>
      <w:numFmt w:val="lowerLetter"/>
      <w:lvlText w:val="%2)"/>
      <w:lvlJc w:val="left"/>
      <w:pPr>
        <w:ind w:left="1520" w:hanging="440"/>
      </w:pPr>
    </w:lvl>
    <w:lvl w:ilvl="2" w:tentative="0">
      <w:start w:val="1"/>
      <w:numFmt w:val="lowerRoman"/>
      <w:lvlText w:val="%3."/>
      <w:lvlJc w:val="right"/>
      <w:pPr>
        <w:ind w:left="1960" w:hanging="440"/>
      </w:pPr>
    </w:lvl>
    <w:lvl w:ilvl="3" w:tentative="0">
      <w:start w:val="1"/>
      <w:numFmt w:val="decimal"/>
      <w:lvlText w:val="%4."/>
      <w:lvlJc w:val="left"/>
      <w:pPr>
        <w:ind w:left="2400" w:hanging="440"/>
      </w:pPr>
    </w:lvl>
    <w:lvl w:ilvl="4" w:tentative="0">
      <w:start w:val="1"/>
      <w:numFmt w:val="lowerLetter"/>
      <w:lvlText w:val="%5)"/>
      <w:lvlJc w:val="left"/>
      <w:pPr>
        <w:ind w:left="2840" w:hanging="440"/>
      </w:pPr>
    </w:lvl>
    <w:lvl w:ilvl="5" w:tentative="0">
      <w:start w:val="1"/>
      <w:numFmt w:val="lowerRoman"/>
      <w:lvlText w:val="%6."/>
      <w:lvlJc w:val="right"/>
      <w:pPr>
        <w:ind w:left="3280" w:hanging="440"/>
      </w:pPr>
    </w:lvl>
    <w:lvl w:ilvl="6" w:tentative="0">
      <w:start w:val="1"/>
      <w:numFmt w:val="decimal"/>
      <w:lvlText w:val="%7."/>
      <w:lvlJc w:val="left"/>
      <w:pPr>
        <w:ind w:left="3720" w:hanging="440"/>
      </w:pPr>
    </w:lvl>
    <w:lvl w:ilvl="7" w:tentative="0">
      <w:start w:val="1"/>
      <w:numFmt w:val="lowerLetter"/>
      <w:lvlText w:val="%8)"/>
      <w:lvlJc w:val="left"/>
      <w:pPr>
        <w:ind w:left="4160" w:hanging="440"/>
      </w:pPr>
    </w:lvl>
    <w:lvl w:ilvl="8" w:tentative="0">
      <w:start w:val="1"/>
      <w:numFmt w:val="lowerRoman"/>
      <w:lvlText w:val="%9."/>
      <w:lvlJc w:val="right"/>
      <w:pPr>
        <w:ind w:left="460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D06D72"/>
    <w:rsid w:val="00000347"/>
    <w:rsid w:val="00000456"/>
    <w:rsid w:val="0000126D"/>
    <w:rsid w:val="00001B9E"/>
    <w:rsid w:val="00002341"/>
    <w:rsid w:val="00002691"/>
    <w:rsid w:val="00002A39"/>
    <w:rsid w:val="0000335B"/>
    <w:rsid w:val="0000360F"/>
    <w:rsid w:val="0000390A"/>
    <w:rsid w:val="00003A7D"/>
    <w:rsid w:val="000042AD"/>
    <w:rsid w:val="00004DCA"/>
    <w:rsid w:val="000056BF"/>
    <w:rsid w:val="000059F3"/>
    <w:rsid w:val="00006546"/>
    <w:rsid w:val="0000687F"/>
    <w:rsid w:val="00007396"/>
    <w:rsid w:val="000077C8"/>
    <w:rsid w:val="00011326"/>
    <w:rsid w:val="00011FF5"/>
    <w:rsid w:val="000123FD"/>
    <w:rsid w:val="00014B10"/>
    <w:rsid w:val="000150CD"/>
    <w:rsid w:val="000150DB"/>
    <w:rsid w:val="00015210"/>
    <w:rsid w:val="00015836"/>
    <w:rsid w:val="0001775D"/>
    <w:rsid w:val="00017B94"/>
    <w:rsid w:val="00020792"/>
    <w:rsid w:val="00022E63"/>
    <w:rsid w:val="00024270"/>
    <w:rsid w:val="00024374"/>
    <w:rsid w:val="00024938"/>
    <w:rsid w:val="0002528F"/>
    <w:rsid w:val="00025554"/>
    <w:rsid w:val="000260D1"/>
    <w:rsid w:val="00026DFC"/>
    <w:rsid w:val="000279BA"/>
    <w:rsid w:val="0003023A"/>
    <w:rsid w:val="00031957"/>
    <w:rsid w:val="00031A14"/>
    <w:rsid w:val="0003205F"/>
    <w:rsid w:val="000336FC"/>
    <w:rsid w:val="000344D3"/>
    <w:rsid w:val="000344EC"/>
    <w:rsid w:val="00034B92"/>
    <w:rsid w:val="00034B99"/>
    <w:rsid w:val="00036924"/>
    <w:rsid w:val="00037F10"/>
    <w:rsid w:val="0004055D"/>
    <w:rsid w:val="00041155"/>
    <w:rsid w:val="000413A4"/>
    <w:rsid w:val="0004167F"/>
    <w:rsid w:val="00042470"/>
    <w:rsid w:val="000451CB"/>
    <w:rsid w:val="000454F6"/>
    <w:rsid w:val="00045B66"/>
    <w:rsid w:val="00045FFC"/>
    <w:rsid w:val="000466B9"/>
    <w:rsid w:val="00050F88"/>
    <w:rsid w:val="0005115E"/>
    <w:rsid w:val="00053520"/>
    <w:rsid w:val="000540CC"/>
    <w:rsid w:val="000543F2"/>
    <w:rsid w:val="000546A2"/>
    <w:rsid w:val="000554E5"/>
    <w:rsid w:val="00055D17"/>
    <w:rsid w:val="00056009"/>
    <w:rsid w:val="00057B8D"/>
    <w:rsid w:val="0006196C"/>
    <w:rsid w:val="00063956"/>
    <w:rsid w:val="00066E1F"/>
    <w:rsid w:val="000672E1"/>
    <w:rsid w:val="00067BEB"/>
    <w:rsid w:val="0007015B"/>
    <w:rsid w:val="000709B9"/>
    <w:rsid w:val="00070CB6"/>
    <w:rsid w:val="00070EA5"/>
    <w:rsid w:val="00071A5E"/>
    <w:rsid w:val="000723E5"/>
    <w:rsid w:val="00072802"/>
    <w:rsid w:val="00074192"/>
    <w:rsid w:val="000750BD"/>
    <w:rsid w:val="000758BA"/>
    <w:rsid w:val="00075AF6"/>
    <w:rsid w:val="00075C79"/>
    <w:rsid w:val="00075E4D"/>
    <w:rsid w:val="00076D06"/>
    <w:rsid w:val="00076F88"/>
    <w:rsid w:val="000777EB"/>
    <w:rsid w:val="00077FDA"/>
    <w:rsid w:val="00082E7F"/>
    <w:rsid w:val="0008408E"/>
    <w:rsid w:val="000842A3"/>
    <w:rsid w:val="0008447F"/>
    <w:rsid w:val="0008449D"/>
    <w:rsid w:val="00084806"/>
    <w:rsid w:val="00084D0F"/>
    <w:rsid w:val="00085195"/>
    <w:rsid w:val="0008570C"/>
    <w:rsid w:val="000863CE"/>
    <w:rsid w:val="00086BB5"/>
    <w:rsid w:val="00087C66"/>
    <w:rsid w:val="00090504"/>
    <w:rsid w:val="00090DFA"/>
    <w:rsid w:val="00090E3A"/>
    <w:rsid w:val="000910E1"/>
    <w:rsid w:val="00091C38"/>
    <w:rsid w:val="000926EB"/>
    <w:rsid w:val="000927F5"/>
    <w:rsid w:val="00093DE9"/>
    <w:rsid w:val="00093F70"/>
    <w:rsid w:val="00094070"/>
    <w:rsid w:val="00094A5B"/>
    <w:rsid w:val="00094A8F"/>
    <w:rsid w:val="0009547A"/>
    <w:rsid w:val="000958A4"/>
    <w:rsid w:val="00095937"/>
    <w:rsid w:val="000A002C"/>
    <w:rsid w:val="000A1029"/>
    <w:rsid w:val="000A121F"/>
    <w:rsid w:val="000A16F4"/>
    <w:rsid w:val="000A32DE"/>
    <w:rsid w:val="000A356F"/>
    <w:rsid w:val="000A403E"/>
    <w:rsid w:val="000A4AE9"/>
    <w:rsid w:val="000A57A4"/>
    <w:rsid w:val="000A588A"/>
    <w:rsid w:val="000A6404"/>
    <w:rsid w:val="000A6FCD"/>
    <w:rsid w:val="000A711E"/>
    <w:rsid w:val="000B09B7"/>
    <w:rsid w:val="000B1701"/>
    <w:rsid w:val="000B46FF"/>
    <w:rsid w:val="000B5BA7"/>
    <w:rsid w:val="000B7850"/>
    <w:rsid w:val="000B7AF9"/>
    <w:rsid w:val="000B7C7F"/>
    <w:rsid w:val="000B7FF5"/>
    <w:rsid w:val="000C08C1"/>
    <w:rsid w:val="000C0D81"/>
    <w:rsid w:val="000C1F85"/>
    <w:rsid w:val="000C2BEB"/>
    <w:rsid w:val="000C36F9"/>
    <w:rsid w:val="000C3DA6"/>
    <w:rsid w:val="000C56F8"/>
    <w:rsid w:val="000C583C"/>
    <w:rsid w:val="000C7BFB"/>
    <w:rsid w:val="000D109A"/>
    <w:rsid w:val="000D1468"/>
    <w:rsid w:val="000D288A"/>
    <w:rsid w:val="000D544E"/>
    <w:rsid w:val="000D5E6F"/>
    <w:rsid w:val="000D61DD"/>
    <w:rsid w:val="000D6C56"/>
    <w:rsid w:val="000E0791"/>
    <w:rsid w:val="000E0A5F"/>
    <w:rsid w:val="000E0AB7"/>
    <w:rsid w:val="000E13DD"/>
    <w:rsid w:val="000E1D1B"/>
    <w:rsid w:val="000E2008"/>
    <w:rsid w:val="000E2404"/>
    <w:rsid w:val="000E2EED"/>
    <w:rsid w:val="000E34EE"/>
    <w:rsid w:val="000E5486"/>
    <w:rsid w:val="000E6A6F"/>
    <w:rsid w:val="000E7B31"/>
    <w:rsid w:val="000E7B58"/>
    <w:rsid w:val="000F07D1"/>
    <w:rsid w:val="000F26FD"/>
    <w:rsid w:val="000F366F"/>
    <w:rsid w:val="000F4007"/>
    <w:rsid w:val="000F473B"/>
    <w:rsid w:val="000F4768"/>
    <w:rsid w:val="000F61AF"/>
    <w:rsid w:val="000F68AF"/>
    <w:rsid w:val="000F6CF5"/>
    <w:rsid w:val="000F7065"/>
    <w:rsid w:val="00100A2C"/>
    <w:rsid w:val="00102511"/>
    <w:rsid w:val="0010270C"/>
    <w:rsid w:val="00102D0D"/>
    <w:rsid w:val="00102F05"/>
    <w:rsid w:val="00103770"/>
    <w:rsid w:val="001038F4"/>
    <w:rsid w:val="0010395B"/>
    <w:rsid w:val="00104EC4"/>
    <w:rsid w:val="00106EBF"/>
    <w:rsid w:val="00106F76"/>
    <w:rsid w:val="001070FA"/>
    <w:rsid w:val="00107400"/>
    <w:rsid w:val="001108C2"/>
    <w:rsid w:val="00110995"/>
    <w:rsid w:val="00110E23"/>
    <w:rsid w:val="00111207"/>
    <w:rsid w:val="00111A01"/>
    <w:rsid w:val="00112744"/>
    <w:rsid w:val="0011455B"/>
    <w:rsid w:val="00114ACB"/>
    <w:rsid w:val="0011546B"/>
    <w:rsid w:val="001160C1"/>
    <w:rsid w:val="00117238"/>
    <w:rsid w:val="00117827"/>
    <w:rsid w:val="00117BCF"/>
    <w:rsid w:val="0012013B"/>
    <w:rsid w:val="00122852"/>
    <w:rsid w:val="00123830"/>
    <w:rsid w:val="001243DF"/>
    <w:rsid w:val="00124A35"/>
    <w:rsid w:val="00124E8F"/>
    <w:rsid w:val="00125688"/>
    <w:rsid w:val="00126EA4"/>
    <w:rsid w:val="00127C5F"/>
    <w:rsid w:val="00130663"/>
    <w:rsid w:val="001306D2"/>
    <w:rsid w:val="00130C54"/>
    <w:rsid w:val="00130D85"/>
    <w:rsid w:val="001349C1"/>
    <w:rsid w:val="00134DC3"/>
    <w:rsid w:val="001351C6"/>
    <w:rsid w:val="00135391"/>
    <w:rsid w:val="00135F6D"/>
    <w:rsid w:val="001410E9"/>
    <w:rsid w:val="00141CAC"/>
    <w:rsid w:val="00143228"/>
    <w:rsid w:val="001440BE"/>
    <w:rsid w:val="00144CAB"/>
    <w:rsid w:val="00145909"/>
    <w:rsid w:val="00145ED1"/>
    <w:rsid w:val="00146664"/>
    <w:rsid w:val="00146C5B"/>
    <w:rsid w:val="00147164"/>
    <w:rsid w:val="001474C3"/>
    <w:rsid w:val="00147907"/>
    <w:rsid w:val="0015002F"/>
    <w:rsid w:val="00151D4E"/>
    <w:rsid w:val="00151F54"/>
    <w:rsid w:val="00153A2C"/>
    <w:rsid w:val="00153BA2"/>
    <w:rsid w:val="001550AB"/>
    <w:rsid w:val="0015517D"/>
    <w:rsid w:val="00156232"/>
    <w:rsid w:val="00156683"/>
    <w:rsid w:val="00156881"/>
    <w:rsid w:val="00157C6B"/>
    <w:rsid w:val="00157D94"/>
    <w:rsid w:val="0016071A"/>
    <w:rsid w:val="00160EE4"/>
    <w:rsid w:val="00161296"/>
    <w:rsid w:val="0016139A"/>
    <w:rsid w:val="00161507"/>
    <w:rsid w:val="0016319A"/>
    <w:rsid w:val="00163D34"/>
    <w:rsid w:val="00163DCC"/>
    <w:rsid w:val="00164D30"/>
    <w:rsid w:val="00165120"/>
    <w:rsid w:val="001654F5"/>
    <w:rsid w:val="001655D3"/>
    <w:rsid w:val="00165D25"/>
    <w:rsid w:val="00166723"/>
    <w:rsid w:val="00166747"/>
    <w:rsid w:val="00167DBB"/>
    <w:rsid w:val="001700DA"/>
    <w:rsid w:val="00173068"/>
    <w:rsid w:val="00173166"/>
    <w:rsid w:val="0017362B"/>
    <w:rsid w:val="001737EB"/>
    <w:rsid w:val="0017434C"/>
    <w:rsid w:val="00174D9C"/>
    <w:rsid w:val="001751E6"/>
    <w:rsid w:val="00175C2E"/>
    <w:rsid w:val="00176CF9"/>
    <w:rsid w:val="00177138"/>
    <w:rsid w:val="001773AD"/>
    <w:rsid w:val="00177983"/>
    <w:rsid w:val="00180D5D"/>
    <w:rsid w:val="00182371"/>
    <w:rsid w:val="001835D5"/>
    <w:rsid w:val="0018482D"/>
    <w:rsid w:val="00184CC8"/>
    <w:rsid w:val="00184FC2"/>
    <w:rsid w:val="00187C60"/>
    <w:rsid w:val="00187F81"/>
    <w:rsid w:val="00193821"/>
    <w:rsid w:val="001949AB"/>
    <w:rsid w:val="001951B1"/>
    <w:rsid w:val="00197E00"/>
    <w:rsid w:val="001A031A"/>
    <w:rsid w:val="001A1437"/>
    <w:rsid w:val="001A3572"/>
    <w:rsid w:val="001A3F7F"/>
    <w:rsid w:val="001A4E57"/>
    <w:rsid w:val="001A54B5"/>
    <w:rsid w:val="001A5D60"/>
    <w:rsid w:val="001A68AA"/>
    <w:rsid w:val="001B10B3"/>
    <w:rsid w:val="001B18C7"/>
    <w:rsid w:val="001B2984"/>
    <w:rsid w:val="001B347C"/>
    <w:rsid w:val="001B50BF"/>
    <w:rsid w:val="001B6324"/>
    <w:rsid w:val="001B705F"/>
    <w:rsid w:val="001B71EF"/>
    <w:rsid w:val="001C01BE"/>
    <w:rsid w:val="001C0AB6"/>
    <w:rsid w:val="001C22A8"/>
    <w:rsid w:val="001C47A1"/>
    <w:rsid w:val="001C561C"/>
    <w:rsid w:val="001C5AA2"/>
    <w:rsid w:val="001C7CED"/>
    <w:rsid w:val="001D00D4"/>
    <w:rsid w:val="001D0433"/>
    <w:rsid w:val="001D066E"/>
    <w:rsid w:val="001D0908"/>
    <w:rsid w:val="001D10C8"/>
    <w:rsid w:val="001D10D4"/>
    <w:rsid w:val="001D130F"/>
    <w:rsid w:val="001D1912"/>
    <w:rsid w:val="001D1FE6"/>
    <w:rsid w:val="001D46E4"/>
    <w:rsid w:val="001D6AB4"/>
    <w:rsid w:val="001D7A18"/>
    <w:rsid w:val="001D7DE4"/>
    <w:rsid w:val="001E0032"/>
    <w:rsid w:val="001E0E01"/>
    <w:rsid w:val="001E11B3"/>
    <w:rsid w:val="001E126B"/>
    <w:rsid w:val="001E295F"/>
    <w:rsid w:val="001E3D1F"/>
    <w:rsid w:val="001E4591"/>
    <w:rsid w:val="001E57D5"/>
    <w:rsid w:val="001E5AA4"/>
    <w:rsid w:val="001E5B6B"/>
    <w:rsid w:val="001E7A16"/>
    <w:rsid w:val="001F0FDD"/>
    <w:rsid w:val="001F3B5E"/>
    <w:rsid w:val="001F474F"/>
    <w:rsid w:val="001F684E"/>
    <w:rsid w:val="00202013"/>
    <w:rsid w:val="002021EA"/>
    <w:rsid w:val="00203C31"/>
    <w:rsid w:val="00203FC7"/>
    <w:rsid w:val="002055DD"/>
    <w:rsid w:val="00206587"/>
    <w:rsid w:val="00207652"/>
    <w:rsid w:val="002078D4"/>
    <w:rsid w:val="00207E58"/>
    <w:rsid w:val="0021067C"/>
    <w:rsid w:val="002120D7"/>
    <w:rsid w:val="00212875"/>
    <w:rsid w:val="002132D6"/>
    <w:rsid w:val="002147F0"/>
    <w:rsid w:val="002154DF"/>
    <w:rsid w:val="00215BC9"/>
    <w:rsid w:val="00217B49"/>
    <w:rsid w:val="00217E81"/>
    <w:rsid w:val="00220EA0"/>
    <w:rsid w:val="002229E4"/>
    <w:rsid w:val="00222DDA"/>
    <w:rsid w:val="00224023"/>
    <w:rsid w:val="00224A0A"/>
    <w:rsid w:val="00224DA7"/>
    <w:rsid w:val="00225FA7"/>
    <w:rsid w:val="00226347"/>
    <w:rsid w:val="002307B3"/>
    <w:rsid w:val="00231164"/>
    <w:rsid w:val="002322A0"/>
    <w:rsid w:val="00233C00"/>
    <w:rsid w:val="00233C18"/>
    <w:rsid w:val="002346DE"/>
    <w:rsid w:val="002349C8"/>
    <w:rsid w:val="002352A5"/>
    <w:rsid w:val="00236144"/>
    <w:rsid w:val="002376F1"/>
    <w:rsid w:val="002377AF"/>
    <w:rsid w:val="00237B87"/>
    <w:rsid w:val="002412F8"/>
    <w:rsid w:val="002415B9"/>
    <w:rsid w:val="002415C7"/>
    <w:rsid w:val="002417C3"/>
    <w:rsid w:val="00242394"/>
    <w:rsid w:val="002451BF"/>
    <w:rsid w:val="00247DD5"/>
    <w:rsid w:val="00247DEC"/>
    <w:rsid w:val="00251C4C"/>
    <w:rsid w:val="00252434"/>
    <w:rsid w:val="00252478"/>
    <w:rsid w:val="002529F6"/>
    <w:rsid w:val="00252EE5"/>
    <w:rsid w:val="002539E7"/>
    <w:rsid w:val="0025445E"/>
    <w:rsid w:val="00255DFD"/>
    <w:rsid w:val="00255FF4"/>
    <w:rsid w:val="00256866"/>
    <w:rsid w:val="002568FD"/>
    <w:rsid w:val="00257361"/>
    <w:rsid w:val="00260EF3"/>
    <w:rsid w:val="00262509"/>
    <w:rsid w:val="0026290E"/>
    <w:rsid w:val="00262DC0"/>
    <w:rsid w:val="00262DD8"/>
    <w:rsid w:val="002630A9"/>
    <w:rsid w:val="00263CFC"/>
    <w:rsid w:val="00263FF0"/>
    <w:rsid w:val="0026457A"/>
    <w:rsid w:val="002645E2"/>
    <w:rsid w:val="00265BF5"/>
    <w:rsid w:val="00266BA5"/>
    <w:rsid w:val="0027029F"/>
    <w:rsid w:val="002705CA"/>
    <w:rsid w:val="00270C42"/>
    <w:rsid w:val="00271141"/>
    <w:rsid w:val="00272032"/>
    <w:rsid w:val="00272A05"/>
    <w:rsid w:val="002735BC"/>
    <w:rsid w:val="00273C75"/>
    <w:rsid w:val="00275C25"/>
    <w:rsid w:val="002775C5"/>
    <w:rsid w:val="002800A1"/>
    <w:rsid w:val="00282DE1"/>
    <w:rsid w:val="00282F34"/>
    <w:rsid w:val="002834FF"/>
    <w:rsid w:val="002842F4"/>
    <w:rsid w:val="002852B8"/>
    <w:rsid w:val="00285C2D"/>
    <w:rsid w:val="002869F6"/>
    <w:rsid w:val="00286B63"/>
    <w:rsid w:val="0029157A"/>
    <w:rsid w:val="00292615"/>
    <w:rsid w:val="00292DAF"/>
    <w:rsid w:val="0029567A"/>
    <w:rsid w:val="00297697"/>
    <w:rsid w:val="002A0082"/>
    <w:rsid w:val="002A0B51"/>
    <w:rsid w:val="002A1411"/>
    <w:rsid w:val="002A15EC"/>
    <w:rsid w:val="002A1C19"/>
    <w:rsid w:val="002A2F04"/>
    <w:rsid w:val="002A415D"/>
    <w:rsid w:val="002A5972"/>
    <w:rsid w:val="002A5C12"/>
    <w:rsid w:val="002A6392"/>
    <w:rsid w:val="002A790C"/>
    <w:rsid w:val="002A7AD4"/>
    <w:rsid w:val="002A7FA3"/>
    <w:rsid w:val="002B22B3"/>
    <w:rsid w:val="002B2BB8"/>
    <w:rsid w:val="002B2F65"/>
    <w:rsid w:val="002B35A4"/>
    <w:rsid w:val="002B3E59"/>
    <w:rsid w:val="002B4399"/>
    <w:rsid w:val="002B5653"/>
    <w:rsid w:val="002B58EC"/>
    <w:rsid w:val="002B734A"/>
    <w:rsid w:val="002C0B2A"/>
    <w:rsid w:val="002C0C7B"/>
    <w:rsid w:val="002C112B"/>
    <w:rsid w:val="002C15F0"/>
    <w:rsid w:val="002C1739"/>
    <w:rsid w:val="002C1B5D"/>
    <w:rsid w:val="002C328D"/>
    <w:rsid w:val="002C3DA2"/>
    <w:rsid w:val="002C4D55"/>
    <w:rsid w:val="002C4FA8"/>
    <w:rsid w:val="002C5034"/>
    <w:rsid w:val="002C5073"/>
    <w:rsid w:val="002C52C0"/>
    <w:rsid w:val="002C5812"/>
    <w:rsid w:val="002C5CC2"/>
    <w:rsid w:val="002C627A"/>
    <w:rsid w:val="002D0911"/>
    <w:rsid w:val="002D2455"/>
    <w:rsid w:val="002D3603"/>
    <w:rsid w:val="002D3696"/>
    <w:rsid w:val="002D3BA9"/>
    <w:rsid w:val="002D3D1C"/>
    <w:rsid w:val="002D3D50"/>
    <w:rsid w:val="002D4279"/>
    <w:rsid w:val="002D5CB2"/>
    <w:rsid w:val="002D6237"/>
    <w:rsid w:val="002D68AE"/>
    <w:rsid w:val="002D7039"/>
    <w:rsid w:val="002D72EE"/>
    <w:rsid w:val="002E051A"/>
    <w:rsid w:val="002E07CC"/>
    <w:rsid w:val="002E09A2"/>
    <w:rsid w:val="002E09A6"/>
    <w:rsid w:val="002E11F0"/>
    <w:rsid w:val="002E1975"/>
    <w:rsid w:val="002E1DE6"/>
    <w:rsid w:val="002E2137"/>
    <w:rsid w:val="002E29DA"/>
    <w:rsid w:val="002E3355"/>
    <w:rsid w:val="002E3375"/>
    <w:rsid w:val="002E396F"/>
    <w:rsid w:val="002E42B9"/>
    <w:rsid w:val="002E4AE2"/>
    <w:rsid w:val="002E54DA"/>
    <w:rsid w:val="002E651B"/>
    <w:rsid w:val="002E6D25"/>
    <w:rsid w:val="002E6F5D"/>
    <w:rsid w:val="002E6FDF"/>
    <w:rsid w:val="002E7384"/>
    <w:rsid w:val="002F298E"/>
    <w:rsid w:val="002F330B"/>
    <w:rsid w:val="002F36D5"/>
    <w:rsid w:val="002F386E"/>
    <w:rsid w:val="002F4D2F"/>
    <w:rsid w:val="002F51BD"/>
    <w:rsid w:val="002F527A"/>
    <w:rsid w:val="002F585C"/>
    <w:rsid w:val="002F59A8"/>
    <w:rsid w:val="002F66AB"/>
    <w:rsid w:val="00301950"/>
    <w:rsid w:val="003042EE"/>
    <w:rsid w:val="003047CB"/>
    <w:rsid w:val="00305BBF"/>
    <w:rsid w:val="00306968"/>
    <w:rsid w:val="00307365"/>
    <w:rsid w:val="00307972"/>
    <w:rsid w:val="00313036"/>
    <w:rsid w:val="003136FA"/>
    <w:rsid w:val="00313834"/>
    <w:rsid w:val="00313890"/>
    <w:rsid w:val="00313DD5"/>
    <w:rsid w:val="0031431A"/>
    <w:rsid w:val="00314D25"/>
    <w:rsid w:val="003155D2"/>
    <w:rsid w:val="00317CF1"/>
    <w:rsid w:val="00317E20"/>
    <w:rsid w:val="003200CA"/>
    <w:rsid w:val="00320321"/>
    <w:rsid w:val="0032073A"/>
    <w:rsid w:val="0032074A"/>
    <w:rsid w:val="003207CD"/>
    <w:rsid w:val="0032255A"/>
    <w:rsid w:val="00322879"/>
    <w:rsid w:val="003232FF"/>
    <w:rsid w:val="003233AE"/>
    <w:rsid w:val="00323578"/>
    <w:rsid w:val="00324BB6"/>
    <w:rsid w:val="00324C1D"/>
    <w:rsid w:val="00324CDB"/>
    <w:rsid w:val="003270B4"/>
    <w:rsid w:val="003306A6"/>
    <w:rsid w:val="00330919"/>
    <w:rsid w:val="00330BDC"/>
    <w:rsid w:val="003311AF"/>
    <w:rsid w:val="00331EC2"/>
    <w:rsid w:val="00332582"/>
    <w:rsid w:val="00333822"/>
    <w:rsid w:val="00333A8B"/>
    <w:rsid w:val="003365C2"/>
    <w:rsid w:val="00336621"/>
    <w:rsid w:val="00336E22"/>
    <w:rsid w:val="003403E3"/>
    <w:rsid w:val="00340A61"/>
    <w:rsid w:val="00340D8A"/>
    <w:rsid w:val="003415A4"/>
    <w:rsid w:val="00341871"/>
    <w:rsid w:val="00342212"/>
    <w:rsid w:val="00345B69"/>
    <w:rsid w:val="00345D04"/>
    <w:rsid w:val="003525F6"/>
    <w:rsid w:val="00352A8E"/>
    <w:rsid w:val="00352F8A"/>
    <w:rsid w:val="00354400"/>
    <w:rsid w:val="0035598A"/>
    <w:rsid w:val="0036089F"/>
    <w:rsid w:val="00360E31"/>
    <w:rsid w:val="00362308"/>
    <w:rsid w:val="00364518"/>
    <w:rsid w:val="00365A62"/>
    <w:rsid w:val="00365BAD"/>
    <w:rsid w:val="00365ECC"/>
    <w:rsid w:val="00366579"/>
    <w:rsid w:val="00366CD0"/>
    <w:rsid w:val="00366FF2"/>
    <w:rsid w:val="003672D3"/>
    <w:rsid w:val="003708B7"/>
    <w:rsid w:val="00370A42"/>
    <w:rsid w:val="00372334"/>
    <w:rsid w:val="00372763"/>
    <w:rsid w:val="00373421"/>
    <w:rsid w:val="0037382D"/>
    <w:rsid w:val="00373E61"/>
    <w:rsid w:val="0037684C"/>
    <w:rsid w:val="00376C76"/>
    <w:rsid w:val="00377602"/>
    <w:rsid w:val="003777BE"/>
    <w:rsid w:val="00380613"/>
    <w:rsid w:val="00381DD2"/>
    <w:rsid w:val="00382639"/>
    <w:rsid w:val="00382841"/>
    <w:rsid w:val="003829F0"/>
    <w:rsid w:val="00383985"/>
    <w:rsid w:val="00384027"/>
    <w:rsid w:val="003843EF"/>
    <w:rsid w:val="00384AA0"/>
    <w:rsid w:val="00384C32"/>
    <w:rsid w:val="00385CE8"/>
    <w:rsid w:val="00385DCC"/>
    <w:rsid w:val="00386B97"/>
    <w:rsid w:val="0039315A"/>
    <w:rsid w:val="00393540"/>
    <w:rsid w:val="00393C61"/>
    <w:rsid w:val="00394704"/>
    <w:rsid w:val="003956E7"/>
    <w:rsid w:val="003957D9"/>
    <w:rsid w:val="003958C6"/>
    <w:rsid w:val="0039692C"/>
    <w:rsid w:val="00397EC6"/>
    <w:rsid w:val="003A0750"/>
    <w:rsid w:val="003A1997"/>
    <w:rsid w:val="003A1E95"/>
    <w:rsid w:val="003A426C"/>
    <w:rsid w:val="003A4442"/>
    <w:rsid w:val="003A512E"/>
    <w:rsid w:val="003A5A41"/>
    <w:rsid w:val="003A64FD"/>
    <w:rsid w:val="003B07E9"/>
    <w:rsid w:val="003B0DD4"/>
    <w:rsid w:val="003B0EA5"/>
    <w:rsid w:val="003B1308"/>
    <w:rsid w:val="003B18F7"/>
    <w:rsid w:val="003B28D9"/>
    <w:rsid w:val="003B2FF0"/>
    <w:rsid w:val="003B3081"/>
    <w:rsid w:val="003B3910"/>
    <w:rsid w:val="003B60B9"/>
    <w:rsid w:val="003C04DE"/>
    <w:rsid w:val="003C05AF"/>
    <w:rsid w:val="003C2752"/>
    <w:rsid w:val="003C2C1E"/>
    <w:rsid w:val="003C2CD2"/>
    <w:rsid w:val="003C2D82"/>
    <w:rsid w:val="003C3CED"/>
    <w:rsid w:val="003C3F7D"/>
    <w:rsid w:val="003C550E"/>
    <w:rsid w:val="003C56F5"/>
    <w:rsid w:val="003C5BB0"/>
    <w:rsid w:val="003C6473"/>
    <w:rsid w:val="003C685E"/>
    <w:rsid w:val="003D1872"/>
    <w:rsid w:val="003D32A9"/>
    <w:rsid w:val="003D3DE1"/>
    <w:rsid w:val="003D515A"/>
    <w:rsid w:val="003D770E"/>
    <w:rsid w:val="003E2709"/>
    <w:rsid w:val="003E2814"/>
    <w:rsid w:val="003E4184"/>
    <w:rsid w:val="003E4320"/>
    <w:rsid w:val="003E48A1"/>
    <w:rsid w:val="003E55A7"/>
    <w:rsid w:val="003E563A"/>
    <w:rsid w:val="003E6DAD"/>
    <w:rsid w:val="003E7E65"/>
    <w:rsid w:val="003F092B"/>
    <w:rsid w:val="003F1FEA"/>
    <w:rsid w:val="003F2940"/>
    <w:rsid w:val="003F3D18"/>
    <w:rsid w:val="003F4AB3"/>
    <w:rsid w:val="003F5E60"/>
    <w:rsid w:val="003F6DC3"/>
    <w:rsid w:val="003F713F"/>
    <w:rsid w:val="003F7493"/>
    <w:rsid w:val="003F7B1C"/>
    <w:rsid w:val="00400FAF"/>
    <w:rsid w:val="004013D2"/>
    <w:rsid w:val="004023F9"/>
    <w:rsid w:val="004036E4"/>
    <w:rsid w:val="004045B1"/>
    <w:rsid w:val="004048E5"/>
    <w:rsid w:val="00407063"/>
    <w:rsid w:val="004078BC"/>
    <w:rsid w:val="00407CA4"/>
    <w:rsid w:val="004109E9"/>
    <w:rsid w:val="00410E2F"/>
    <w:rsid w:val="0041100E"/>
    <w:rsid w:val="00411960"/>
    <w:rsid w:val="00412B3D"/>
    <w:rsid w:val="00413209"/>
    <w:rsid w:val="00414A44"/>
    <w:rsid w:val="00416835"/>
    <w:rsid w:val="00417E57"/>
    <w:rsid w:val="00420585"/>
    <w:rsid w:val="00420C6A"/>
    <w:rsid w:val="00421FD4"/>
    <w:rsid w:val="004220EA"/>
    <w:rsid w:val="00422704"/>
    <w:rsid w:val="00423694"/>
    <w:rsid w:val="0042537D"/>
    <w:rsid w:val="00425FA3"/>
    <w:rsid w:val="00426EA2"/>
    <w:rsid w:val="00426EA9"/>
    <w:rsid w:val="00427A56"/>
    <w:rsid w:val="00427F19"/>
    <w:rsid w:val="00432A52"/>
    <w:rsid w:val="004333C9"/>
    <w:rsid w:val="00433533"/>
    <w:rsid w:val="004343D7"/>
    <w:rsid w:val="00435587"/>
    <w:rsid w:val="0043640E"/>
    <w:rsid w:val="004372EA"/>
    <w:rsid w:val="0043756E"/>
    <w:rsid w:val="00440995"/>
    <w:rsid w:val="004411E8"/>
    <w:rsid w:val="004425A0"/>
    <w:rsid w:val="00443483"/>
    <w:rsid w:val="0044403A"/>
    <w:rsid w:val="00444219"/>
    <w:rsid w:val="0044445C"/>
    <w:rsid w:val="00444933"/>
    <w:rsid w:val="00444CBF"/>
    <w:rsid w:val="00445663"/>
    <w:rsid w:val="004459BA"/>
    <w:rsid w:val="004465FD"/>
    <w:rsid w:val="0044676A"/>
    <w:rsid w:val="00446877"/>
    <w:rsid w:val="0044790A"/>
    <w:rsid w:val="00447E10"/>
    <w:rsid w:val="00450904"/>
    <w:rsid w:val="00450BCE"/>
    <w:rsid w:val="00450CD2"/>
    <w:rsid w:val="00452F95"/>
    <w:rsid w:val="004535E4"/>
    <w:rsid w:val="00453850"/>
    <w:rsid w:val="00453A71"/>
    <w:rsid w:val="00453B70"/>
    <w:rsid w:val="0045434D"/>
    <w:rsid w:val="00457F83"/>
    <w:rsid w:val="00460A2F"/>
    <w:rsid w:val="00461561"/>
    <w:rsid w:val="00462894"/>
    <w:rsid w:val="004628B8"/>
    <w:rsid w:val="0046448D"/>
    <w:rsid w:val="004660C9"/>
    <w:rsid w:val="00466C16"/>
    <w:rsid w:val="0047033C"/>
    <w:rsid w:val="00470D38"/>
    <w:rsid w:val="0047151F"/>
    <w:rsid w:val="00472441"/>
    <w:rsid w:val="00473757"/>
    <w:rsid w:val="00474562"/>
    <w:rsid w:val="00474FCC"/>
    <w:rsid w:val="004761B6"/>
    <w:rsid w:val="00476AF9"/>
    <w:rsid w:val="004770BE"/>
    <w:rsid w:val="004818D6"/>
    <w:rsid w:val="0048461B"/>
    <w:rsid w:val="0048578C"/>
    <w:rsid w:val="00486BE5"/>
    <w:rsid w:val="00487876"/>
    <w:rsid w:val="00487B8A"/>
    <w:rsid w:val="00490010"/>
    <w:rsid w:val="00490B7A"/>
    <w:rsid w:val="00490CFA"/>
    <w:rsid w:val="004912D0"/>
    <w:rsid w:val="004928B7"/>
    <w:rsid w:val="00492995"/>
    <w:rsid w:val="00492A98"/>
    <w:rsid w:val="00493BE9"/>
    <w:rsid w:val="00493E00"/>
    <w:rsid w:val="00493F10"/>
    <w:rsid w:val="00494FF0"/>
    <w:rsid w:val="00495949"/>
    <w:rsid w:val="00497967"/>
    <w:rsid w:val="004A0C92"/>
    <w:rsid w:val="004A1262"/>
    <w:rsid w:val="004A1A22"/>
    <w:rsid w:val="004A1D29"/>
    <w:rsid w:val="004A2033"/>
    <w:rsid w:val="004A2A02"/>
    <w:rsid w:val="004A2BE3"/>
    <w:rsid w:val="004A36EF"/>
    <w:rsid w:val="004A4912"/>
    <w:rsid w:val="004A529A"/>
    <w:rsid w:val="004A5E43"/>
    <w:rsid w:val="004A6962"/>
    <w:rsid w:val="004B1890"/>
    <w:rsid w:val="004B1FFF"/>
    <w:rsid w:val="004B287D"/>
    <w:rsid w:val="004B4099"/>
    <w:rsid w:val="004B4C80"/>
    <w:rsid w:val="004B5AE3"/>
    <w:rsid w:val="004B5CC0"/>
    <w:rsid w:val="004B6D9E"/>
    <w:rsid w:val="004B7022"/>
    <w:rsid w:val="004B7447"/>
    <w:rsid w:val="004B78AA"/>
    <w:rsid w:val="004C0673"/>
    <w:rsid w:val="004C0F5A"/>
    <w:rsid w:val="004C3A5D"/>
    <w:rsid w:val="004C4EAD"/>
    <w:rsid w:val="004D1579"/>
    <w:rsid w:val="004D356D"/>
    <w:rsid w:val="004D3AC5"/>
    <w:rsid w:val="004D519E"/>
    <w:rsid w:val="004D5259"/>
    <w:rsid w:val="004D6859"/>
    <w:rsid w:val="004D695D"/>
    <w:rsid w:val="004E1F88"/>
    <w:rsid w:val="004E38CC"/>
    <w:rsid w:val="004E3A54"/>
    <w:rsid w:val="004E3A81"/>
    <w:rsid w:val="004E3EA4"/>
    <w:rsid w:val="004E421D"/>
    <w:rsid w:val="004E46BF"/>
    <w:rsid w:val="004E5772"/>
    <w:rsid w:val="004E5A1B"/>
    <w:rsid w:val="004E6846"/>
    <w:rsid w:val="004E6AA0"/>
    <w:rsid w:val="004E6CEF"/>
    <w:rsid w:val="004E7608"/>
    <w:rsid w:val="004F0E25"/>
    <w:rsid w:val="004F1602"/>
    <w:rsid w:val="004F1742"/>
    <w:rsid w:val="004F1C7D"/>
    <w:rsid w:val="004F2191"/>
    <w:rsid w:val="004F3359"/>
    <w:rsid w:val="004F428B"/>
    <w:rsid w:val="004F5773"/>
    <w:rsid w:val="004F74EA"/>
    <w:rsid w:val="005001D0"/>
    <w:rsid w:val="00500A3B"/>
    <w:rsid w:val="005019C5"/>
    <w:rsid w:val="00501E05"/>
    <w:rsid w:val="00503F64"/>
    <w:rsid w:val="00504DAF"/>
    <w:rsid w:val="00507B73"/>
    <w:rsid w:val="00510689"/>
    <w:rsid w:val="00510F62"/>
    <w:rsid w:val="00511C9C"/>
    <w:rsid w:val="005143C8"/>
    <w:rsid w:val="005148DF"/>
    <w:rsid w:val="005154F7"/>
    <w:rsid w:val="005156B6"/>
    <w:rsid w:val="00515BD4"/>
    <w:rsid w:val="00515D07"/>
    <w:rsid w:val="00517BF7"/>
    <w:rsid w:val="0052362B"/>
    <w:rsid w:val="005243DC"/>
    <w:rsid w:val="00525436"/>
    <w:rsid w:val="0052573D"/>
    <w:rsid w:val="005268DE"/>
    <w:rsid w:val="00527402"/>
    <w:rsid w:val="00527D5E"/>
    <w:rsid w:val="0053037B"/>
    <w:rsid w:val="005310E7"/>
    <w:rsid w:val="005316DC"/>
    <w:rsid w:val="00531A71"/>
    <w:rsid w:val="005326BF"/>
    <w:rsid w:val="00532E80"/>
    <w:rsid w:val="00532EBC"/>
    <w:rsid w:val="00534330"/>
    <w:rsid w:val="00536720"/>
    <w:rsid w:val="00540412"/>
    <w:rsid w:val="00540E92"/>
    <w:rsid w:val="00541052"/>
    <w:rsid w:val="00542090"/>
    <w:rsid w:val="00542A18"/>
    <w:rsid w:val="005430C6"/>
    <w:rsid w:val="0054478C"/>
    <w:rsid w:val="00545496"/>
    <w:rsid w:val="0054581A"/>
    <w:rsid w:val="005458C6"/>
    <w:rsid w:val="005464F0"/>
    <w:rsid w:val="00551297"/>
    <w:rsid w:val="00551674"/>
    <w:rsid w:val="00552253"/>
    <w:rsid w:val="005522A0"/>
    <w:rsid w:val="00553582"/>
    <w:rsid w:val="00553BE6"/>
    <w:rsid w:val="005543DF"/>
    <w:rsid w:val="005553BE"/>
    <w:rsid w:val="0056007C"/>
    <w:rsid w:val="005612E6"/>
    <w:rsid w:val="00561BA1"/>
    <w:rsid w:val="00562FA8"/>
    <w:rsid w:val="00564D4F"/>
    <w:rsid w:val="00564FBE"/>
    <w:rsid w:val="00565357"/>
    <w:rsid w:val="005654D5"/>
    <w:rsid w:val="00566105"/>
    <w:rsid w:val="0057166F"/>
    <w:rsid w:val="00571778"/>
    <w:rsid w:val="00572225"/>
    <w:rsid w:val="00572514"/>
    <w:rsid w:val="0057364B"/>
    <w:rsid w:val="0057365D"/>
    <w:rsid w:val="00573A08"/>
    <w:rsid w:val="005744C4"/>
    <w:rsid w:val="005760C8"/>
    <w:rsid w:val="00576569"/>
    <w:rsid w:val="00576B75"/>
    <w:rsid w:val="00576C0D"/>
    <w:rsid w:val="00576D5E"/>
    <w:rsid w:val="00576DE4"/>
    <w:rsid w:val="00580D1A"/>
    <w:rsid w:val="005828D8"/>
    <w:rsid w:val="00584291"/>
    <w:rsid w:val="0058471A"/>
    <w:rsid w:val="00584D1F"/>
    <w:rsid w:val="00585385"/>
    <w:rsid w:val="00585D5E"/>
    <w:rsid w:val="00585E59"/>
    <w:rsid w:val="005878EC"/>
    <w:rsid w:val="00590D3A"/>
    <w:rsid w:val="005913CA"/>
    <w:rsid w:val="00592038"/>
    <w:rsid w:val="00592297"/>
    <w:rsid w:val="0059280B"/>
    <w:rsid w:val="00592EDE"/>
    <w:rsid w:val="0059392D"/>
    <w:rsid w:val="00593DD1"/>
    <w:rsid w:val="00594AFE"/>
    <w:rsid w:val="0059566D"/>
    <w:rsid w:val="00595D99"/>
    <w:rsid w:val="00596769"/>
    <w:rsid w:val="005A014B"/>
    <w:rsid w:val="005A0851"/>
    <w:rsid w:val="005A3572"/>
    <w:rsid w:val="005A379F"/>
    <w:rsid w:val="005A519E"/>
    <w:rsid w:val="005A564A"/>
    <w:rsid w:val="005A5E2A"/>
    <w:rsid w:val="005A7B3A"/>
    <w:rsid w:val="005A7C65"/>
    <w:rsid w:val="005A7D82"/>
    <w:rsid w:val="005B101A"/>
    <w:rsid w:val="005B1647"/>
    <w:rsid w:val="005B23B1"/>
    <w:rsid w:val="005B2826"/>
    <w:rsid w:val="005B2D04"/>
    <w:rsid w:val="005B35B6"/>
    <w:rsid w:val="005B3674"/>
    <w:rsid w:val="005B395E"/>
    <w:rsid w:val="005B5010"/>
    <w:rsid w:val="005B5A65"/>
    <w:rsid w:val="005B7134"/>
    <w:rsid w:val="005C0BFE"/>
    <w:rsid w:val="005C1A7D"/>
    <w:rsid w:val="005C29D8"/>
    <w:rsid w:val="005C3731"/>
    <w:rsid w:val="005C40B3"/>
    <w:rsid w:val="005C4FD3"/>
    <w:rsid w:val="005C4FDE"/>
    <w:rsid w:val="005C588F"/>
    <w:rsid w:val="005C6054"/>
    <w:rsid w:val="005C67B1"/>
    <w:rsid w:val="005C6CF9"/>
    <w:rsid w:val="005C71E3"/>
    <w:rsid w:val="005C7234"/>
    <w:rsid w:val="005C7BF8"/>
    <w:rsid w:val="005C7D3D"/>
    <w:rsid w:val="005D0AF2"/>
    <w:rsid w:val="005D0F70"/>
    <w:rsid w:val="005D102B"/>
    <w:rsid w:val="005D1F47"/>
    <w:rsid w:val="005D1F4F"/>
    <w:rsid w:val="005D2031"/>
    <w:rsid w:val="005D3314"/>
    <w:rsid w:val="005D3426"/>
    <w:rsid w:val="005D384F"/>
    <w:rsid w:val="005D425F"/>
    <w:rsid w:val="005D4999"/>
    <w:rsid w:val="005D58FA"/>
    <w:rsid w:val="005D6B8D"/>
    <w:rsid w:val="005D73EE"/>
    <w:rsid w:val="005E0874"/>
    <w:rsid w:val="005E12B1"/>
    <w:rsid w:val="005E16BD"/>
    <w:rsid w:val="005E21FA"/>
    <w:rsid w:val="005E2369"/>
    <w:rsid w:val="005E336A"/>
    <w:rsid w:val="005E3AE0"/>
    <w:rsid w:val="005E3C00"/>
    <w:rsid w:val="005E4854"/>
    <w:rsid w:val="005E5769"/>
    <w:rsid w:val="005E6F3A"/>
    <w:rsid w:val="005F135D"/>
    <w:rsid w:val="005F23B5"/>
    <w:rsid w:val="005F3CBB"/>
    <w:rsid w:val="005F4D77"/>
    <w:rsid w:val="005F4F4A"/>
    <w:rsid w:val="005F4FEE"/>
    <w:rsid w:val="005F5BDB"/>
    <w:rsid w:val="005F5D03"/>
    <w:rsid w:val="005F6409"/>
    <w:rsid w:val="005F66B3"/>
    <w:rsid w:val="00600486"/>
    <w:rsid w:val="00600D91"/>
    <w:rsid w:val="0060243F"/>
    <w:rsid w:val="00602EBD"/>
    <w:rsid w:val="0060516D"/>
    <w:rsid w:val="00605706"/>
    <w:rsid w:val="00606891"/>
    <w:rsid w:val="00606B15"/>
    <w:rsid w:val="00606B85"/>
    <w:rsid w:val="006073F5"/>
    <w:rsid w:val="00607722"/>
    <w:rsid w:val="00607C9E"/>
    <w:rsid w:val="00607DEE"/>
    <w:rsid w:val="006108E5"/>
    <w:rsid w:val="00610909"/>
    <w:rsid w:val="00611829"/>
    <w:rsid w:val="00612F2B"/>
    <w:rsid w:val="00613396"/>
    <w:rsid w:val="00613ABA"/>
    <w:rsid w:val="00613DE4"/>
    <w:rsid w:val="00620347"/>
    <w:rsid w:val="006207DB"/>
    <w:rsid w:val="00621014"/>
    <w:rsid w:val="006217B7"/>
    <w:rsid w:val="0062267F"/>
    <w:rsid w:val="006229FA"/>
    <w:rsid w:val="00622A14"/>
    <w:rsid w:val="00623487"/>
    <w:rsid w:val="00623AD5"/>
    <w:rsid w:val="00624748"/>
    <w:rsid w:val="00624BB1"/>
    <w:rsid w:val="006254DF"/>
    <w:rsid w:val="006259EC"/>
    <w:rsid w:val="00625FE1"/>
    <w:rsid w:val="006266ED"/>
    <w:rsid w:val="006275A2"/>
    <w:rsid w:val="00627D90"/>
    <w:rsid w:val="00630CCC"/>
    <w:rsid w:val="00631614"/>
    <w:rsid w:val="00631617"/>
    <w:rsid w:val="00631B3D"/>
    <w:rsid w:val="00631C4A"/>
    <w:rsid w:val="00631E73"/>
    <w:rsid w:val="0063274E"/>
    <w:rsid w:val="00633419"/>
    <w:rsid w:val="006334B1"/>
    <w:rsid w:val="0063384D"/>
    <w:rsid w:val="006355A9"/>
    <w:rsid w:val="00635776"/>
    <w:rsid w:val="00635E69"/>
    <w:rsid w:val="00636AE3"/>
    <w:rsid w:val="006410F1"/>
    <w:rsid w:val="0064155B"/>
    <w:rsid w:val="00641695"/>
    <w:rsid w:val="00641C1E"/>
    <w:rsid w:val="00641C6F"/>
    <w:rsid w:val="00642072"/>
    <w:rsid w:val="00642D24"/>
    <w:rsid w:val="00642F92"/>
    <w:rsid w:val="00643954"/>
    <w:rsid w:val="00643AA5"/>
    <w:rsid w:val="0064413B"/>
    <w:rsid w:val="00644E4D"/>
    <w:rsid w:val="0064558E"/>
    <w:rsid w:val="00645D3F"/>
    <w:rsid w:val="00645DEF"/>
    <w:rsid w:val="006473B9"/>
    <w:rsid w:val="006475F4"/>
    <w:rsid w:val="006476EE"/>
    <w:rsid w:val="006478A6"/>
    <w:rsid w:val="006502F1"/>
    <w:rsid w:val="00650323"/>
    <w:rsid w:val="00651A82"/>
    <w:rsid w:val="00651C61"/>
    <w:rsid w:val="0065311F"/>
    <w:rsid w:val="006533C3"/>
    <w:rsid w:val="00653B05"/>
    <w:rsid w:val="00653D05"/>
    <w:rsid w:val="00654775"/>
    <w:rsid w:val="00655E08"/>
    <w:rsid w:val="0065637D"/>
    <w:rsid w:val="00657204"/>
    <w:rsid w:val="006573ED"/>
    <w:rsid w:val="006618D5"/>
    <w:rsid w:val="00662343"/>
    <w:rsid w:val="00662D80"/>
    <w:rsid w:val="00664045"/>
    <w:rsid w:val="006653AE"/>
    <w:rsid w:val="00666863"/>
    <w:rsid w:val="00666EFA"/>
    <w:rsid w:val="00667867"/>
    <w:rsid w:val="00667D2A"/>
    <w:rsid w:val="00671FD4"/>
    <w:rsid w:val="006723D1"/>
    <w:rsid w:val="006724C4"/>
    <w:rsid w:val="006734B7"/>
    <w:rsid w:val="006765AC"/>
    <w:rsid w:val="00680C8D"/>
    <w:rsid w:val="006813FC"/>
    <w:rsid w:val="006816CC"/>
    <w:rsid w:val="00681903"/>
    <w:rsid w:val="00683CAA"/>
    <w:rsid w:val="00685A94"/>
    <w:rsid w:val="00686C93"/>
    <w:rsid w:val="006933D7"/>
    <w:rsid w:val="006950E1"/>
    <w:rsid w:val="00696035"/>
    <w:rsid w:val="00696CE8"/>
    <w:rsid w:val="006973AC"/>
    <w:rsid w:val="006A03C4"/>
    <w:rsid w:val="006A1F3B"/>
    <w:rsid w:val="006A2F5D"/>
    <w:rsid w:val="006A45B8"/>
    <w:rsid w:val="006A6006"/>
    <w:rsid w:val="006A6499"/>
    <w:rsid w:val="006B01BA"/>
    <w:rsid w:val="006B0D54"/>
    <w:rsid w:val="006B1F80"/>
    <w:rsid w:val="006B232B"/>
    <w:rsid w:val="006B26D9"/>
    <w:rsid w:val="006B2EC7"/>
    <w:rsid w:val="006B3D22"/>
    <w:rsid w:val="006B546A"/>
    <w:rsid w:val="006B5678"/>
    <w:rsid w:val="006B6387"/>
    <w:rsid w:val="006C019D"/>
    <w:rsid w:val="006C04BF"/>
    <w:rsid w:val="006C0F0C"/>
    <w:rsid w:val="006C1290"/>
    <w:rsid w:val="006C2BFE"/>
    <w:rsid w:val="006C2C09"/>
    <w:rsid w:val="006C2CDC"/>
    <w:rsid w:val="006C2F87"/>
    <w:rsid w:val="006C5134"/>
    <w:rsid w:val="006C5169"/>
    <w:rsid w:val="006C59EC"/>
    <w:rsid w:val="006C5AE1"/>
    <w:rsid w:val="006C6E9F"/>
    <w:rsid w:val="006C790E"/>
    <w:rsid w:val="006D2200"/>
    <w:rsid w:val="006D27A3"/>
    <w:rsid w:val="006D2C15"/>
    <w:rsid w:val="006D2E46"/>
    <w:rsid w:val="006D3C34"/>
    <w:rsid w:val="006D49DC"/>
    <w:rsid w:val="006D5C9E"/>
    <w:rsid w:val="006D66E2"/>
    <w:rsid w:val="006D6B6E"/>
    <w:rsid w:val="006D6C31"/>
    <w:rsid w:val="006D6D7B"/>
    <w:rsid w:val="006D72BD"/>
    <w:rsid w:val="006D761A"/>
    <w:rsid w:val="006E0707"/>
    <w:rsid w:val="006E111B"/>
    <w:rsid w:val="006E158E"/>
    <w:rsid w:val="006E1871"/>
    <w:rsid w:val="006E2303"/>
    <w:rsid w:val="006E268C"/>
    <w:rsid w:val="006E2833"/>
    <w:rsid w:val="006E3114"/>
    <w:rsid w:val="006E4AE5"/>
    <w:rsid w:val="006E4D38"/>
    <w:rsid w:val="006E4F91"/>
    <w:rsid w:val="006E5033"/>
    <w:rsid w:val="006E5C72"/>
    <w:rsid w:val="006E64C2"/>
    <w:rsid w:val="006F029F"/>
    <w:rsid w:val="006F05D2"/>
    <w:rsid w:val="006F133D"/>
    <w:rsid w:val="006F237E"/>
    <w:rsid w:val="006F27E0"/>
    <w:rsid w:val="006F3228"/>
    <w:rsid w:val="006F40A4"/>
    <w:rsid w:val="006F40F3"/>
    <w:rsid w:val="006F43BD"/>
    <w:rsid w:val="006F45AA"/>
    <w:rsid w:val="006F496C"/>
    <w:rsid w:val="006F67F4"/>
    <w:rsid w:val="006F6836"/>
    <w:rsid w:val="006F7EC5"/>
    <w:rsid w:val="0070272C"/>
    <w:rsid w:val="00703893"/>
    <w:rsid w:val="00705926"/>
    <w:rsid w:val="00706B0B"/>
    <w:rsid w:val="00706D43"/>
    <w:rsid w:val="00706E01"/>
    <w:rsid w:val="00707692"/>
    <w:rsid w:val="00707BAC"/>
    <w:rsid w:val="00707FF3"/>
    <w:rsid w:val="00710DF8"/>
    <w:rsid w:val="007130AF"/>
    <w:rsid w:val="00713FBE"/>
    <w:rsid w:val="00714012"/>
    <w:rsid w:val="00714C0A"/>
    <w:rsid w:val="00715CDB"/>
    <w:rsid w:val="00716353"/>
    <w:rsid w:val="00716545"/>
    <w:rsid w:val="00717B9B"/>
    <w:rsid w:val="00720030"/>
    <w:rsid w:val="0072216B"/>
    <w:rsid w:val="00723711"/>
    <w:rsid w:val="007239FE"/>
    <w:rsid w:val="0072420E"/>
    <w:rsid w:val="00724656"/>
    <w:rsid w:val="007249BE"/>
    <w:rsid w:val="00724ABA"/>
    <w:rsid w:val="00724CF2"/>
    <w:rsid w:val="00725315"/>
    <w:rsid w:val="00725385"/>
    <w:rsid w:val="00726328"/>
    <w:rsid w:val="00726CDB"/>
    <w:rsid w:val="007279B3"/>
    <w:rsid w:val="00727FF6"/>
    <w:rsid w:val="00730020"/>
    <w:rsid w:val="007327DD"/>
    <w:rsid w:val="00732A41"/>
    <w:rsid w:val="00732A85"/>
    <w:rsid w:val="00732AB7"/>
    <w:rsid w:val="00733342"/>
    <w:rsid w:val="00733787"/>
    <w:rsid w:val="0073538B"/>
    <w:rsid w:val="00735CF0"/>
    <w:rsid w:val="00736F74"/>
    <w:rsid w:val="0073790D"/>
    <w:rsid w:val="007402E2"/>
    <w:rsid w:val="00741818"/>
    <w:rsid w:val="00741B6C"/>
    <w:rsid w:val="00742613"/>
    <w:rsid w:val="00742929"/>
    <w:rsid w:val="007439CC"/>
    <w:rsid w:val="007468B0"/>
    <w:rsid w:val="00747408"/>
    <w:rsid w:val="0074742A"/>
    <w:rsid w:val="0075086D"/>
    <w:rsid w:val="007515B7"/>
    <w:rsid w:val="0075232A"/>
    <w:rsid w:val="00752886"/>
    <w:rsid w:val="0075352F"/>
    <w:rsid w:val="00753987"/>
    <w:rsid w:val="0075417C"/>
    <w:rsid w:val="00754CB5"/>
    <w:rsid w:val="007560F4"/>
    <w:rsid w:val="00756ED9"/>
    <w:rsid w:val="007579B6"/>
    <w:rsid w:val="00760B2E"/>
    <w:rsid w:val="00760BC8"/>
    <w:rsid w:val="007613E4"/>
    <w:rsid w:val="007616C8"/>
    <w:rsid w:val="007616D9"/>
    <w:rsid w:val="00761B39"/>
    <w:rsid w:val="00763205"/>
    <w:rsid w:val="00763610"/>
    <w:rsid w:val="00763E8E"/>
    <w:rsid w:val="007646E0"/>
    <w:rsid w:val="00766413"/>
    <w:rsid w:val="00766C90"/>
    <w:rsid w:val="00770336"/>
    <w:rsid w:val="00771FDF"/>
    <w:rsid w:val="00772F1E"/>
    <w:rsid w:val="007732BC"/>
    <w:rsid w:val="007741EB"/>
    <w:rsid w:val="00774511"/>
    <w:rsid w:val="00774604"/>
    <w:rsid w:val="00775EFB"/>
    <w:rsid w:val="0077652F"/>
    <w:rsid w:val="0077724E"/>
    <w:rsid w:val="00777A6F"/>
    <w:rsid w:val="00782DB9"/>
    <w:rsid w:val="00783219"/>
    <w:rsid w:val="0078332D"/>
    <w:rsid w:val="00783B54"/>
    <w:rsid w:val="007868E2"/>
    <w:rsid w:val="00786E8C"/>
    <w:rsid w:val="007876F6"/>
    <w:rsid w:val="007923C8"/>
    <w:rsid w:val="00792F02"/>
    <w:rsid w:val="00794818"/>
    <w:rsid w:val="00794FF5"/>
    <w:rsid w:val="00795477"/>
    <w:rsid w:val="007958EA"/>
    <w:rsid w:val="00795C8D"/>
    <w:rsid w:val="0079682A"/>
    <w:rsid w:val="00796F90"/>
    <w:rsid w:val="007A0DEA"/>
    <w:rsid w:val="007A1DD3"/>
    <w:rsid w:val="007A295B"/>
    <w:rsid w:val="007A2AD2"/>
    <w:rsid w:val="007A4B51"/>
    <w:rsid w:val="007A50C9"/>
    <w:rsid w:val="007A52E0"/>
    <w:rsid w:val="007A5E15"/>
    <w:rsid w:val="007A6035"/>
    <w:rsid w:val="007A612A"/>
    <w:rsid w:val="007A617B"/>
    <w:rsid w:val="007A7568"/>
    <w:rsid w:val="007A7F86"/>
    <w:rsid w:val="007B1467"/>
    <w:rsid w:val="007B146D"/>
    <w:rsid w:val="007B1A58"/>
    <w:rsid w:val="007B3C86"/>
    <w:rsid w:val="007B3C90"/>
    <w:rsid w:val="007B3D4E"/>
    <w:rsid w:val="007B4125"/>
    <w:rsid w:val="007B52D4"/>
    <w:rsid w:val="007B5BE3"/>
    <w:rsid w:val="007B64EA"/>
    <w:rsid w:val="007B7D3C"/>
    <w:rsid w:val="007C2432"/>
    <w:rsid w:val="007C2516"/>
    <w:rsid w:val="007C2CCF"/>
    <w:rsid w:val="007C2D27"/>
    <w:rsid w:val="007C30F5"/>
    <w:rsid w:val="007C32A9"/>
    <w:rsid w:val="007C3DE9"/>
    <w:rsid w:val="007C429E"/>
    <w:rsid w:val="007C4C48"/>
    <w:rsid w:val="007C4D3D"/>
    <w:rsid w:val="007C5493"/>
    <w:rsid w:val="007C581E"/>
    <w:rsid w:val="007C5982"/>
    <w:rsid w:val="007C60AA"/>
    <w:rsid w:val="007C77BD"/>
    <w:rsid w:val="007D0252"/>
    <w:rsid w:val="007D0C49"/>
    <w:rsid w:val="007D0D72"/>
    <w:rsid w:val="007D19D4"/>
    <w:rsid w:val="007D25A5"/>
    <w:rsid w:val="007D3496"/>
    <w:rsid w:val="007D3638"/>
    <w:rsid w:val="007D3F28"/>
    <w:rsid w:val="007D3F56"/>
    <w:rsid w:val="007D4F32"/>
    <w:rsid w:val="007D561D"/>
    <w:rsid w:val="007D5709"/>
    <w:rsid w:val="007D5736"/>
    <w:rsid w:val="007D65FB"/>
    <w:rsid w:val="007D76A0"/>
    <w:rsid w:val="007D7F95"/>
    <w:rsid w:val="007E107F"/>
    <w:rsid w:val="007E2CDC"/>
    <w:rsid w:val="007E38E8"/>
    <w:rsid w:val="007E56F2"/>
    <w:rsid w:val="007E5DE4"/>
    <w:rsid w:val="007E68A9"/>
    <w:rsid w:val="007E6B80"/>
    <w:rsid w:val="007F011A"/>
    <w:rsid w:val="007F097A"/>
    <w:rsid w:val="007F0FDD"/>
    <w:rsid w:val="007F16A9"/>
    <w:rsid w:val="007F32D1"/>
    <w:rsid w:val="007F37AC"/>
    <w:rsid w:val="007F47F2"/>
    <w:rsid w:val="007F5ED0"/>
    <w:rsid w:val="007F7806"/>
    <w:rsid w:val="008001BE"/>
    <w:rsid w:val="00801282"/>
    <w:rsid w:val="00801D44"/>
    <w:rsid w:val="008026F4"/>
    <w:rsid w:val="0080281B"/>
    <w:rsid w:val="00803949"/>
    <w:rsid w:val="00803E1E"/>
    <w:rsid w:val="0080461D"/>
    <w:rsid w:val="00810CC0"/>
    <w:rsid w:val="00811922"/>
    <w:rsid w:val="00811CB3"/>
    <w:rsid w:val="00811EFD"/>
    <w:rsid w:val="0081316E"/>
    <w:rsid w:val="00813C80"/>
    <w:rsid w:val="008143DF"/>
    <w:rsid w:val="00817150"/>
    <w:rsid w:val="00817A2E"/>
    <w:rsid w:val="00820BC2"/>
    <w:rsid w:val="00820D27"/>
    <w:rsid w:val="00821172"/>
    <w:rsid w:val="0082133C"/>
    <w:rsid w:val="00822304"/>
    <w:rsid w:val="00822A5F"/>
    <w:rsid w:val="00822A66"/>
    <w:rsid w:val="00822B6D"/>
    <w:rsid w:val="0082338B"/>
    <w:rsid w:val="0082343B"/>
    <w:rsid w:val="00824BD5"/>
    <w:rsid w:val="00824D21"/>
    <w:rsid w:val="00827166"/>
    <w:rsid w:val="0082746B"/>
    <w:rsid w:val="00827D2A"/>
    <w:rsid w:val="00831EAE"/>
    <w:rsid w:val="00832B6D"/>
    <w:rsid w:val="00832BD3"/>
    <w:rsid w:val="0083374D"/>
    <w:rsid w:val="00834006"/>
    <w:rsid w:val="00834166"/>
    <w:rsid w:val="008342A1"/>
    <w:rsid w:val="008362BC"/>
    <w:rsid w:val="00836436"/>
    <w:rsid w:val="00836446"/>
    <w:rsid w:val="0083669B"/>
    <w:rsid w:val="00837549"/>
    <w:rsid w:val="008376C0"/>
    <w:rsid w:val="00840526"/>
    <w:rsid w:val="00840B1C"/>
    <w:rsid w:val="00840BA0"/>
    <w:rsid w:val="00841117"/>
    <w:rsid w:val="008411EA"/>
    <w:rsid w:val="008414D4"/>
    <w:rsid w:val="008418C6"/>
    <w:rsid w:val="00841DEC"/>
    <w:rsid w:val="0084256E"/>
    <w:rsid w:val="00847186"/>
    <w:rsid w:val="00847900"/>
    <w:rsid w:val="008528C1"/>
    <w:rsid w:val="0085324F"/>
    <w:rsid w:val="00853F64"/>
    <w:rsid w:val="00854123"/>
    <w:rsid w:val="008545A6"/>
    <w:rsid w:val="00855AAE"/>
    <w:rsid w:val="00855B74"/>
    <w:rsid w:val="00856917"/>
    <w:rsid w:val="0086044C"/>
    <w:rsid w:val="008619C2"/>
    <w:rsid w:val="00861BF6"/>
    <w:rsid w:val="00861C1C"/>
    <w:rsid w:val="008622F8"/>
    <w:rsid w:val="00862EC8"/>
    <w:rsid w:val="008640BE"/>
    <w:rsid w:val="008652B0"/>
    <w:rsid w:val="00865345"/>
    <w:rsid w:val="00866277"/>
    <w:rsid w:val="00867372"/>
    <w:rsid w:val="00867516"/>
    <w:rsid w:val="00867749"/>
    <w:rsid w:val="0087032E"/>
    <w:rsid w:val="008705F6"/>
    <w:rsid w:val="0087183E"/>
    <w:rsid w:val="00872CC4"/>
    <w:rsid w:val="00872E45"/>
    <w:rsid w:val="00873167"/>
    <w:rsid w:val="00873EED"/>
    <w:rsid w:val="00876CE3"/>
    <w:rsid w:val="00876FB7"/>
    <w:rsid w:val="00877CA1"/>
    <w:rsid w:val="008802FF"/>
    <w:rsid w:val="00881C0C"/>
    <w:rsid w:val="0088288F"/>
    <w:rsid w:val="00883904"/>
    <w:rsid w:val="00884BBC"/>
    <w:rsid w:val="008860FF"/>
    <w:rsid w:val="00886834"/>
    <w:rsid w:val="00887629"/>
    <w:rsid w:val="00887FC7"/>
    <w:rsid w:val="00890005"/>
    <w:rsid w:val="00890964"/>
    <w:rsid w:val="00890ABF"/>
    <w:rsid w:val="00890FC6"/>
    <w:rsid w:val="008923B4"/>
    <w:rsid w:val="00893911"/>
    <w:rsid w:val="00893CE3"/>
    <w:rsid w:val="00894349"/>
    <w:rsid w:val="00894F7B"/>
    <w:rsid w:val="00896BE6"/>
    <w:rsid w:val="0089750B"/>
    <w:rsid w:val="0089757D"/>
    <w:rsid w:val="00897775"/>
    <w:rsid w:val="008977E9"/>
    <w:rsid w:val="008A230A"/>
    <w:rsid w:val="008A3794"/>
    <w:rsid w:val="008A3E2B"/>
    <w:rsid w:val="008A467E"/>
    <w:rsid w:val="008A6F2F"/>
    <w:rsid w:val="008B2EE3"/>
    <w:rsid w:val="008B3C51"/>
    <w:rsid w:val="008B428A"/>
    <w:rsid w:val="008B5459"/>
    <w:rsid w:val="008B7291"/>
    <w:rsid w:val="008C0B82"/>
    <w:rsid w:val="008C0FB3"/>
    <w:rsid w:val="008C18D1"/>
    <w:rsid w:val="008C1F3F"/>
    <w:rsid w:val="008C337A"/>
    <w:rsid w:val="008C3655"/>
    <w:rsid w:val="008C408B"/>
    <w:rsid w:val="008C4AEB"/>
    <w:rsid w:val="008C5D86"/>
    <w:rsid w:val="008C5D99"/>
    <w:rsid w:val="008C6AC0"/>
    <w:rsid w:val="008D00C9"/>
    <w:rsid w:val="008D065C"/>
    <w:rsid w:val="008D0BC4"/>
    <w:rsid w:val="008D162A"/>
    <w:rsid w:val="008D275B"/>
    <w:rsid w:val="008D3441"/>
    <w:rsid w:val="008D3CB0"/>
    <w:rsid w:val="008D47ED"/>
    <w:rsid w:val="008D4C9B"/>
    <w:rsid w:val="008D50B7"/>
    <w:rsid w:val="008D56A3"/>
    <w:rsid w:val="008D671E"/>
    <w:rsid w:val="008D7285"/>
    <w:rsid w:val="008E0386"/>
    <w:rsid w:val="008E0441"/>
    <w:rsid w:val="008E293F"/>
    <w:rsid w:val="008E33C4"/>
    <w:rsid w:val="008E3402"/>
    <w:rsid w:val="008E5FA8"/>
    <w:rsid w:val="008E6011"/>
    <w:rsid w:val="008E6961"/>
    <w:rsid w:val="008E6B24"/>
    <w:rsid w:val="008E7ADD"/>
    <w:rsid w:val="008F0C9E"/>
    <w:rsid w:val="008F1781"/>
    <w:rsid w:val="008F263F"/>
    <w:rsid w:val="008F2C6D"/>
    <w:rsid w:val="008F2D56"/>
    <w:rsid w:val="008F4043"/>
    <w:rsid w:val="008F435C"/>
    <w:rsid w:val="008F5543"/>
    <w:rsid w:val="008F6439"/>
    <w:rsid w:val="008F7143"/>
    <w:rsid w:val="008F74C1"/>
    <w:rsid w:val="008F7EE1"/>
    <w:rsid w:val="009001BA"/>
    <w:rsid w:val="00900D50"/>
    <w:rsid w:val="00900F5A"/>
    <w:rsid w:val="009018F0"/>
    <w:rsid w:val="0090206E"/>
    <w:rsid w:val="009041DC"/>
    <w:rsid w:val="00904ED0"/>
    <w:rsid w:val="00905EE3"/>
    <w:rsid w:val="00905EE9"/>
    <w:rsid w:val="00907A2A"/>
    <w:rsid w:val="00907F1D"/>
    <w:rsid w:val="00907F4B"/>
    <w:rsid w:val="0091031E"/>
    <w:rsid w:val="00910627"/>
    <w:rsid w:val="0091199A"/>
    <w:rsid w:val="00911F08"/>
    <w:rsid w:val="00912042"/>
    <w:rsid w:val="00912068"/>
    <w:rsid w:val="00912883"/>
    <w:rsid w:val="009137E8"/>
    <w:rsid w:val="00913DCB"/>
    <w:rsid w:val="00913F45"/>
    <w:rsid w:val="009148F0"/>
    <w:rsid w:val="00914A31"/>
    <w:rsid w:val="00914BA6"/>
    <w:rsid w:val="0091540A"/>
    <w:rsid w:val="00915819"/>
    <w:rsid w:val="00917242"/>
    <w:rsid w:val="00920352"/>
    <w:rsid w:val="009204CF"/>
    <w:rsid w:val="00920DE9"/>
    <w:rsid w:val="00920E8F"/>
    <w:rsid w:val="00921874"/>
    <w:rsid w:val="009221CB"/>
    <w:rsid w:val="009225FE"/>
    <w:rsid w:val="009236B3"/>
    <w:rsid w:val="0092437B"/>
    <w:rsid w:val="00924ABB"/>
    <w:rsid w:val="00926812"/>
    <w:rsid w:val="0092693C"/>
    <w:rsid w:val="00926C05"/>
    <w:rsid w:val="00927137"/>
    <w:rsid w:val="00930D2C"/>
    <w:rsid w:val="00931B87"/>
    <w:rsid w:val="009328BC"/>
    <w:rsid w:val="00934DE6"/>
    <w:rsid w:val="009352B3"/>
    <w:rsid w:val="00935EDF"/>
    <w:rsid w:val="00936951"/>
    <w:rsid w:val="00936C71"/>
    <w:rsid w:val="00937061"/>
    <w:rsid w:val="009401DB"/>
    <w:rsid w:val="00940348"/>
    <w:rsid w:val="00940FF6"/>
    <w:rsid w:val="0094189B"/>
    <w:rsid w:val="00941C00"/>
    <w:rsid w:val="00941C03"/>
    <w:rsid w:val="00943165"/>
    <w:rsid w:val="00943E59"/>
    <w:rsid w:val="0094413F"/>
    <w:rsid w:val="0094531B"/>
    <w:rsid w:val="009459B2"/>
    <w:rsid w:val="009468A5"/>
    <w:rsid w:val="00947934"/>
    <w:rsid w:val="00947A2F"/>
    <w:rsid w:val="009511A2"/>
    <w:rsid w:val="00952071"/>
    <w:rsid w:val="00954581"/>
    <w:rsid w:val="009545C5"/>
    <w:rsid w:val="009560B1"/>
    <w:rsid w:val="00956439"/>
    <w:rsid w:val="00956C07"/>
    <w:rsid w:val="009571DF"/>
    <w:rsid w:val="009578CA"/>
    <w:rsid w:val="009578DE"/>
    <w:rsid w:val="00957B7C"/>
    <w:rsid w:val="0096064E"/>
    <w:rsid w:val="00965A14"/>
    <w:rsid w:val="00965FC9"/>
    <w:rsid w:val="00966FA0"/>
    <w:rsid w:val="0096753F"/>
    <w:rsid w:val="00970F8A"/>
    <w:rsid w:val="00971323"/>
    <w:rsid w:val="009724C9"/>
    <w:rsid w:val="00972787"/>
    <w:rsid w:val="0097280B"/>
    <w:rsid w:val="0097321F"/>
    <w:rsid w:val="00973341"/>
    <w:rsid w:val="00973F2D"/>
    <w:rsid w:val="00974248"/>
    <w:rsid w:val="00975A85"/>
    <w:rsid w:val="00975B1C"/>
    <w:rsid w:val="00975EAC"/>
    <w:rsid w:val="00977289"/>
    <w:rsid w:val="00977A52"/>
    <w:rsid w:val="00980250"/>
    <w:rsid w:val="00980B5C"/>
    <w:rsid w:val="00981B9F"/>
    <w:rsid w:val="00981C80"/>
    <w:rsid w:val="00981DE5"/>
    <w:rsid w:val="00983FFF"/>
    <w:rsid w:val="009842F5"/>
    <w:rsid w:val="0098464E"/>
    <w:rsid w:val="00986633"/>
    <w:rsid w:val="0098689E"/>
    <w:rsid w:val="009868EE"/>
    <w:rsid w:val="0098759C"/>
    <w:rsid w:val="0098773D"/>
    <w:rsid w:val="009900A9"/>
    <w:rsid w:val="00990321"/>
    <w:rsid w:val="009903AE"/>
    <w:rsid w:val="009909F6"/>
    <w:rsid w:val="00990AF0"/>
    <w:rsid w:val="009928D7"/>
    <w:rsid w:val="00993182"/>
    <w:rsid w:val="00994A64"/>
    <w:rsid w:val="00994D3A"/>
    <w:rsid w:val="0099500D"/>
    <w:rsid w:val="00995534"/>
    <w:rsid w:val="00995663"/>
    <w:rsid w:val="0099669C"/>
    <w:rsid w:val="0099688E"/>
    <w:rsid w:val="00997205"/>
    <w:rsid w:val="009976B4"/>
    <w:rsid w:val="009A0BFA"/>
    <w:rsid w:val="009A0EB6"/>
    <w:rsid w:val="009A0EFE"/>
    <w:rsid w:val="009A117A"/>
    <w:rsid w:val="009A117F"/>
    <w:rsid w:val="009A12C4"/>
    <w:rsid w:val="009A17C2"/>
    <w:rsid w:val="009A1AD1"/>
    <w:rsid w:val="009A269A"/>
    <w:rsid w:val="009A293F"/>
    <w:rsid w:val="009A2F52"/>
    <w:rsid w:val="009A30CB"/>
    <w:rsid w:val="009A3132"/>
    <w:rsid w:val="009A31CA"/>
    <w:rsid w:val="009A322F"/>
    <w:rsid w:val="009A3F07"/>
    <w:rsid w:val="009A5A9E"/>
    <w:rsid w:val="009A5B76"/>
    <w:rsid w:val="009A5F4E"/>
    <w:rsid w:val="009A5F65"/>
    <w:rsid w:val="009A767D"/>
    <w:rsid w:val="009A7766"/>
    <w:rsid w:val="009B0502"/>
    <w:rsid w:val="009B18D2"/>
    <w:rsid w:val="009B1F78"/>
    <w:rsid w:val="009B24B1"/>
    <w:rsid w:val="009B2540"/>
    <w:rsid w:val="009B46E4"/>
    <w:rsid w:val="009B5786"/>
    <w:rsid w:val="009B6225"/>
    <w:rsid w:val="009B68BA"/>
    <w:rsid w:val="009B760E"/>
    <w:rsid w:val="009B7AE3"/>
    <w:rsid w:val="009B7EA0"/>
    <w:rsid w:val="009C0733"/>
    <w:rsid w:val="009C0785"/>
    <w:rsid w:val="009C0FFF"/>
    <w:rsid w:val="009C140A"/>
    <w:rsid w:val="009C1D41"/>
    <w:rsid w:val="009C277D"/>
    <w:rsid w:val="009C2C40"/>
    <w:rsid w:val="009C2F01"/>
    <w:rsid w:val="009C42DE"/>
    <w:rsid w:val="009C4D1C"/>
    <w:rsid w:val="009C51DA"/>
    <w:rsid w:val="009C57F4"/>
    <w:rsid w:val="009C7A54"/>
    <w:rsid w:val="009D08CB"/>
    <w:rsid w:val="009D10AF"/>
    <w:rsid w:val="009D2DE9"/>
    <w:rsid w:val="009D52B9"/>
    <w:rsid w:val="009D5977"/>
    <w:rsid w:val="009D5BD5"/>
    <w:rsid w:val="009D6973"/>
    <w:rsid w:val="009E0233"/>
    <w:rsid w:val="009E0306"/>
    <w:rsid w:val="009E1275"/>
    <w:rsid w:val="009E167A"/>
    <w:rsid w:val="009E17AD"/>
    <w:rsid w:val="009E37A1"/>
    <w:rsid w:val="009E5484"/>
    <w:rsid w:val="009E68CB"/>
    <w:rsid w:val="009E6B83"/>
    <w:rsid w:val="009E7992"/>
    <w:rsid w:val="009F0588"/>
    <w:rsid w:val="009F109E"/>
    <w:rsid w:val="009F10FD"/>
    <w:rsid w:val="009F150E"/>
    <w:rsid w:val="009F242D"/>
    <w:rsid w:val="009F2C00"/>
    <w:rsid w:val="009F3064"/>
    <w:rsid w:val="009F4B56"/>
    <w:rsid w:val="009F5657"/>
    <w:rsid w:val="009F5904"/>
    <w:rsid w:val="009F6C65"/>
    <w:rsid w:val="009F7147"/>
    <w:rsid w:val="009F797F"/>
    <w:rsid w:val="009F7BC2"/>
    <w:rsid w:val="009F7C54"/>
    <w:rsid w:val="009F7F17"/>
    <w:rsid w:val="00A01D6E"/>
    <w:rsid w:val="00A02F99"/>
    <w:rsid w:val="00A059A9"/>
    <w:rsid w:val="00A05E82"/>
    <w:rsid w:val="00A067B3"/>
    <w:rsid w:val="00A0689D"/>
    <w:rsid w:val="00A06C47"/>
    <w:rsid w:val="00A109BA"/>
    <w:rsid w:val="00A112A7"/>
    <w:rsid w:val="00A121E8"/>
    <w:rsid w:val="00A132EF"/>
    <w:rsid w:val="00A13B4C"/>
    <w:rsid w:val="00A140ED"/>
    <w:rsid w:val="00A14F9A"/>
    <w:rsid w:val="00A15726"/>
    <w:rsid w:val="00A171FB"/>
    <w:rsid w:val="00A173EE"/>
    <w:rsid w:val="00A20E2E"/>
    <w:rsid w:val="00A23BEE"/>
    <w:rsid w:val="00A23D3C"/>
    <w:rsid w:val="00A2487A"/>
    <w:rsid w:val="00A25845"/>
    <w:rsid w:val="00A25AB0"/>
    <w:rsid w:val="00A26F73"/>
    <w:rsid w:val="00A3181D"/>
    <w:rsid w:val="00A32859"/>
    <w:rsid w:val="00A33683"/>
    <w:rsid w:val="00A347FD"/>
    <w:rsid w:val="00A369CB"/>
    <w:rsid w:val="00A3705F"/>
    <w:rsid w:val="00A41070"/>
    <w:rsid w:val="00A412B0"/>
    <w:rsid w:val="00A42C1F"/>
    <w:rsid w:val="00A43375"/>
    <w:rsid w:val="00A439D8"/>
    <w:rsid w:val="00A43ACE"/>
    <w:rsid w:val="00A43CA5"/>
    <w:rsid w:val="00A44248"/>
    <w:rsid w:val="00A44508"/>
    <w:rsid w:val="00A46246"/>
    <w:rsid w:val="00A5164E"/>
    <w:rsid w:val="00A526D2"/>
    <w:rsid w:val="00A53062"/>
    <w:rsid w:val="00A53B7C"/>
    <w:rsid w:val="00A554CC"/>
    <w:rsid w:val="00A560D1"/>
    <w:rsid w:val="00A5775D"/>
    <w:rsid w:val="00A57A7E"/>
    <w:rsid w:val="00A6028C"/>
    <w:rsid w:val="00A607DD"/>
    <w:rsid w:val="00A60F14"/>
    <w:rsid w:val="00A61AD4"/>
    <w:rsid w:val="00A62163"/>
    <w:rsid w:val="00A63202"/>
    <w:rsid w:val="00A63438"/>
    <w:rsid w:val="00A64727"/>
    <w:rsid w:val="00A648E0"/>
    <w:rsid w:val="00A64A98"/>
    <w:rsid w:val="00A64D2D"/>
    <w:rsid w:val="00A65B2D"/>
    <w:rsid w:val="00A65B84"/>
    <w:rsid w:val="00A65BAB"/>
    <w:rsid w:val="00A65D5F"/>
    <w:rsid w:val="00A66944"/>
    <w:rsid w:val="00A66992"/>
    <w:rsid w:val="00A66F5F"/>
    <w:rsid w:val="00A67769"/>
    <w:rsid w:val="00A67E91"/>
    <w:rsid w:val="00A70EAF"/>
    <w:rsid w:val="00A7325A"/>
    <w:rsid w:val="00A736EA"/>
    <w:rsid w:val="00A7390F"/>
    <w:rsid w:val="00A73BEB"/>
    <w:rsid w:val="00A745D4"/>
    <w:rsid w:val="00A74F63"/>
    <w:rsid w:val="00A75A80"/>
    <w:rsid w:val="00A75BB6"/>
    <w:rsid w:val="00A805B4"/>
    <w:rsid w:val="00A80D8F"/>
    <w:rsid w:val="00A8176C"/>
    <w:rsid w:val="00A819BD"/>
    <w:rsid w:val="00A82496"/>
    <w:rsid w:val="00A83D4C"/>
    <w:rsid w:val="00A84370"/>
    <w:rsid w:val="00A843A7"/>
    <w:rsid w:val="00A84BED"/>
    <w:rsid w:val="00A84C6F"/>
    <w:rsid w:val="00A84DC2"/>
    <w:rsid w:val="00A84EA9"/>
    <w:rsid w:val="00A855C9"/>
    <w:rsid w:val="00A85933"/>
    <w:rsid w:val="00A85DED"/>
    <w:rsid w:val="00A86557"/>
    <w:rsid w:val="00A8679F"/>
    <w:rsid w:val="00A86A73"/>
    <w:rsid w:val="00A871A7"/>
    <w:rsid w:val="00A900CB"/>
    <w:rsid w:val="00A90328"/>
    <w:rsid w:val="00A9160B"/>
    <w:rsid w:val="00A976F7"/>
    <w:rsid w:val="00AA101A"/>
    <w:rsid w:val="00AA10B9"/>
    <w:rsid w:val="00AA1EE6"/>
    <w:rsid w:val="00AA2C88"/>
    <w:rsid w:val="00AA343A"/>
    <w:rsid w:val="00AA367B"/>
    <w:rsid w:val="00AA37DC"/>
    <w:rsid w:val="00AA45E1"/>
    <w:rsid w:val="00AA4876"/>
    <w:rsid w:val="00AA48CF"/>
    <w:rsid w:val="00AA5181"/>
    <w:rsid w:val="00AA54CE"/>
    <w:rsid w:val="00AB03F2"/>
    <w:rsid w:val="00AB04C8"/>
    <w:rsid w:val="00AB1216"/>
    <w:rsid w:val="00AB15AD"/>
    <w:rsid w:val="00AB1AAD"/>
    <w:rsid w:val="00AB2368"/>
    <w:rsid w:val="00AB3193"/>
    <w:rsid w:val="00AB3DE4"/>
    <w:rsid w:val="00AB5737"/>
    <w:rsid w:val="00AB6A1E"/>
    <w:rsid w:val="00AB75AA"/>
    <w:rsid w:val="00AB7652"/>
    <w:rsid w:val="00AC0858"/>
    <w:rsid w:val="00AC0AA7"/>
    <w:rsid w:val="00AC0CDF"/>
    <w:rsid w:val="00AC0E5A"/>
    <w:rsid w:val="00AC14C5"/>
    <w:rsid w:val="00AC167C"/>
    <w:rsid w:val="00AC202D"/>
    <w:rsid w:val="00AC3633"/>
    <w:rsid w:val="00AC450A"/>
    <w:rsid w:val="00AC6A09"/>
    <w:rsid w:val="00AC7F41"/>
    <w:rsid w:val="00AD02C0"/>
    <w:rsid w:val="00AD0D09"/>
    <w:rsid w:val="00AD1A2F"/>
    <w:rsid w:val="00AD1CCA"/>
    <w:rsid w:val="00AD2206"/>
    <w:rsid w:val="00AD2CB6"/>
    <w:rsid w:val="00AD2DE8"/>
    <w:rsid w:val="00AD2F59"/>
    <w:rsid w:val="00AD30DB"/>
    <w:rsid w:val="00AD3832"/>
    <w:rsid w:val="00AD3AD9"/>
    <w:rsid w:val="00AD3C82"/>
    <w:rsid w:val="00AD41FC"/>
    <w:rsid w:val="00AD5CB6"/>
    <w:rsid w:val="00AD6098"/>
    <w:rsid w:val="00AD7C6A"/>
    <w:rsid w:val="00AE00D8"/>
    <w:rsid w:val="00AE017B"/>
    <w:rsid w:val="00AE0488"/>
    <w:rsid w:val="00AE0AB7"/>
    <w:rsid w:val="00AE0C8E"/>
    <w:rsid w:val="00AE53B4"/>
    <w:rsid w:val="00AE6172"/>
    <w:rsid w:val="00AE6B91"/>
    <w:rsid w:val="00AE73B0"/>
    <w:rsid w:val="00AF1904"/>
    <w:rsid w:val="00AF2CE0"/>
    <w:rsid w:val="00AF2F61"/>
    <w:rsid w:val="00AF3B40"/>
    <w:rsid w:val="00AF431A"/>
    <w:rsid w:val="00AF4DB5"/>
    <w:rsid w:val="00B005E4"/>
    <w:rsid w:val="00B009F4"/>
    <w:rsid w:val="00B0102A"/>
    <w:rsid w:val="00B01101"/>
    <w:rsid w:val="00B01453"/>
    <w:rsid w:val="00B014D5"/>
    <w:rsid w:val="00B033CB"/>
    <w:rsid w:val="00B03BE6"/>
    <w:rsid w:val="00B04777"/>
    <w:rsid w:val="00B04A25"/>
    <w:rsid w:val="00B04CD2"/>
    <w:rsid w:val="00B074F7"/>
    <w:rsid w:val="00B100C7"/>
    <w:rsid w:val="00B108DC"/>
    <w:rsid w:val="00B10E6F"/>
    <w:rsid w:val="00B11F03"/>
    <w:rsid w:val="00B121FB"/>
    <w:rsid w:val="00B133BF"/>
    <w:rsid w:val="00B13D15"/>
    <w:rsid w:val="00B14060"/>
    <w:rsid w:val="00B1414E"/>
    <w:rsid w:val="00B14A9B"/>
    <w:rsid w:val="00B15FAB"/>
    <w:rsid w:val="00B162B9"/>
    <w:rsid w:val="00B16E0A"/>
    <w:rsid w:val="00B17660"/>
    <w:rsid w:val="00B21385"/>
    <w:rsid w:val="00B219E7"/>
    <w:rsid w:val="00B22535"/>
    <w:rsid w:val="00B22664"/>
    <w:rsid w:val="00B24530"/>
    <w:rsid w:val="00B24BBE"/>
    <w:rsid w:val="00B250E9"/>
    <w:rsid w:val="00B259B8"/>
    <w:rsid w:val="00B2679C"/>
    <w:rsid w:val="00B26F63"/>
    <w:rsid w:val="00B274BB"/>
    <w:rsid w:val="00B30F42"/>
    <w:rsid w:val="00B321C7"/>
    <w:rsid w:val="00B333D6"/>
    <w:rsid w:val="00B3395A"/>
    <w:rsid w:val="00B3403B"/>
    <w:rsid w:val="00B34471"/>
    <w:rsid w:val="00B34A8E"/>
    <w:rsid w:val="00B35322"/>
    <w:rsid w:val="00B35F03"/>
    <w:rsid w:val="00B40343"/>
    <w:rsid w:val="00B414A1"/>
    <w:rsid w:val="00B41629"/>
    <w:rsid w:val="00B429AE"/>
    <w:rsid w:val="00B43D4D"/>
    <w:rsid w:val="00B44FCB"/>
    <w:rsid w:val="00B462FB"/>
    <w:rsid w:val="00B4791C"/>
    <w:rsid w:val="00B47B15"/>
    <w:rsid w:val="00B47C8D"/>
    <w:rsid w:val="00B47CEC"/>
    <w:rsid w:val="00B51BFD"/>
    <w:rsid w:val="00B52468"/>
    <w:rsid w:val="00B530D7"/>
    <w:rsid w:val="00B53424"/>
    <w:rsid w:val="00B543F2"/>
    <w:rsid w:val="00B54BFD"/>
    <w:rsid w:val="00B54D4A"/>
    <w:rsid w:val="00B54E32"/>
    <w:rsid w:val="00B55A4F"/>
    <w:rsid w:val="00B56B43"/>
    <w:rsid w:val="00B57AA0"/>
    <w:rsid w:val="00B57D2F"/>
    <w:rsid w:val="00B61AF3"/>
    <w:rsid w:val="00B61C76"/>
    <w:rsid w:val="00B6207F"/>
    <w:rsid w:val="00B625CC"/>
    <w:rsid w:val="00B63244"/>
    <w:rsid w:val="00B63247"/>
    <w:rsid w:val="00B635AC"/>
    <w:rsid w:val="00B63DF0"/>
    <w:rsid w:val="00B64139"/>
    <w:rsid w:val="00B65FA8"/>
    <w:rsid w:val="00B67588"/>
    <w:rsid w:val="00B709BF"/>
    <w:rsid w:val="00B70FFC"/>
    <w:rsid w:val="00B71593"/>
    <w:rsid w:val="00B71E1D"/>
    <w:rsid w:val="00B7262A"/>
    <w:rsid w:val="00B744B8"/>
    <w:rsid w:val="00B74646"/>
    <w:rsid w:val="00B75524"/>
    <w:rsid w:val="00B75A05"/>
    <w:rsid w:val="00B75B5D"/>
    <w:rsid w:val="00B776E0"/>
    <w:rsid w:val="00B81135"/>
    <w:rsid w:val="00B81513"/>
    <w:rsid w:val="00B817D4"/>
    <w:rsid w:val="00B81C26"/>
    <w:rsid w:val="00B81E2C"/>
    <w:rsid w:val="00B825A9"/>
    <w:rsid w:val="00B842A3"/>
    <w:rsid w:val="00B84455"/>
    <w:rsid w:val="00B844DA"/>
    <w:rsid w:val="00B85AED"/>
    <w:rsid w:val="00B862DF"/>
    <w:rsid w:val="00B8689E"/>
    <w:rsid w:val="00B875A7"/>
    <w:rsid w:val="00B87CE1"/>
    <w:rsid w:val="00B909F6"/>
    <w:rsid w:val="00B91495"/>
    <w:rsid w:val="00B91498"/>
    <w:rsid w:val="00B9244E"/>
    <w:rsid w:val="00B9293E"/>
    <w:rsid w:val="00B93855"/>
    <w:rsid w:val="00B93F18"/>
    <w:rsid w:val="00B945F5"/>
    <w:rsid w:val="00B94C13"/>
    <w:rsid w:val="00B958AD"/>
    <w:rsid w:val="00B95BB0"/>
    <w:rsid w:val="00B96356"/>
    <w:rsid w:val="00B968B8"/>
    <w:rsid w:val="00B96F74"/>
    <w:rsid w:val="00B97AE5"/>
    <w:rsid w:val="00B97BDF"/>
    <w:rsid w:val="00B97CF0"/>
    <w:rsid w:val="00BA0483"/>
    <w:rsid w:val="00BA127D"/>
    <w:rsid w:val="00BA130B"/>
    <w:rsid w:val="00BA182C"/>
    <w:rsid w:val="00BA1EB5"/>
    <w:rsid w:val="00BA301C"/>
    <w:rsid w:val="00BA3454"/>
    <w:rsid w:val="00BA51B0"/>
    <w:rsid w:val="00BA705C"/>
    <w:rsid w:val="00BA73E2"/>
    <w:rsid w:val="00BB0B1B"/>
    <w:rsid w:val="00BB1A60"/>
    <w:rsid w:val="00BB1AA7"/>
    <w:rsid w:val="00BB3193"/>
    <w:rsid w:val="00BB367F"/>
    <w:rsid w:val="00BB3FC5"/>
    <w:rsid w:val="00BB4112"/>
    <w:rsid w:val="00BB489C"/>
    <w:rsid w:val="00BB49F3"/>
    <w:rsid w:val="00BB5187"/>
    <w:rsid w:val="00BB5E45"/>
    <w:rsid w:val="00BB5EEC"/>
    <w:rsid w:val="00BB5F23"/>
    <w:rsid w:val="00BB7975"/>
    <w:rsid w:val="00BB7C16"/>
    <w:rsid w:val="00BC0156"/>
    <w:rsid w:val="00BC0CC4"/>
    <w:rsid w:val="00BC0D57"/>
    <w:rsid w:val="00BC0E08"/>
    <w:rsid w:val="00BC215E"/>
    <w:rsid w:val="00BC283F"/>
    <w:rsid w:val="00BC5536"/>
    <w:rsid w:val="00BC5ED0"/>
    <w:rsid w:val="00BC619D"/>
    <w:rsid w:val="00BC7AED"/>
    <w:rsid w:val="00BC7E9E"/>
    <w:rsid w:val="00BD02C4"/>
    <w:rsid w:val="00BD04FC"/>
    <w:rsid w:val="00BD05D2"/>
    <w:rsid w:val="00BD0B26"/>
    <w:rsid w:val="00BD2117"/>
    <w:rsid w:val="00BD304D"/>
    <w:rsid w:val="00BD4EED"/>
    <w:rsid w:val="00BD5B21"/>
    <w:rsid w:val="00BD5C53"/>
    <w:rsid w:val="00BD5C70"/>
    <w:rsid w:val="00BD6144"/>
    <w:rsid w:val="00BD65BD"/>
    <w:rsid w:val="00BD678D"/>
    <w:rsid w:val="00BD697D"/>
    <w:rsid w:val="00BD7BC4"/>
    <w:rsid w:val="00BD7EA6"/>
    <w:rsid w:val="00BE1CA9"/>
    <w:rsid w:val="00BE2111"/>
    <w:rsid w:val="00BE3008"/>
    <w:rsid w:val="00BE358F"/>
    <w:rsid w:val="00BE4548"/>
    <w:rsid w:val="00BE64A0"/>
    <w:rsid w:val="00BE7ABA"/>
    <w:rsid w:val="00BF0DA2"/>
    <w:rsid w:val="00BF17E0"/>
    <w:rsid w:val="00BF1D06"/>
    <w:rsid w:val="00BF2E06"/>
    <w:rsid w:val="00BF2EFF"/>
    <w:rsid w:val="00BF330A"/>
    <w:rsid w:val="00BF373A"/>
    <w:rsid w:val="00BF4079"/>
    <w:rsid w:val="00BF4597"/>
    <w:rsid w:val="00BF6948"/>
    <w:rsid w:val="00BF740E"/>
    <w:rsid w:val="00C0002F"/>
    <w:rsid w:val="00C0109A"/>
    <w:rsid w:val="00C04294"/>
    <w:rsid w:val="00C049BC"/>
    <w:rsid w:val="00C04DC3"/>
    <w:rsid w:val="00C05DAE"/>
    <w:rsid w:val="00C0611C"/>
    <w:rsid w:val="00C07A6E"/>
    <w:rsid w:val="00C07C15"/>
    <w:rsid w:val="00C10131"/>
    <w:rsid w:val="00C11300"/>
    <w:rsid w:val="00C1285E"/>
    <w:rsid w:val="00C13519"/>
    <w:rsid w:val="00C13AA8"/>
    <w:rsid w:val="00C14C15"/>
    <w:rsid w:val="00C16830"/>
    <w:rsid w:val="00C16C1D"/>
    <w:rsid w:val="00C1709A"/>
    <w:rsid w:val="00C1799C"/>
    <w:rsid w:val="00C21274"/>
    <w:rsid w:val="00C21FBD"/>
    <w:rsid w:val="00C22357"/>
    <w:rsid w:val="00C2259D"/>
    <w:rsid w:val="00C22AA6"/>
    <w:rsid w:val="00C23D07"/>
    <w:rsid w:val="00C2542E"/>
    <w:rsid w:val="00C26F1B"/>
    <w:rsid w:val="00C2712E"/>
    <w:rsid w:val="00C27262"/>
    <w:rsid w:val="00C30352"/>
    <w:rsid w:val="00C304B2"/>
    <w:rsid w:val="00C304F1"/>
    <w:rsid w:val="00C31AB5"/>
    <w:rsid w:val="00C31FDD"/>
    <w:rsid w:val="00C3241E"/>
    <w:rsid w:val="00C327B8"/>
    <w:rsid w:val="00C32B9B"/>
    <w:rsid w:val="00C3330F"/>
    <w:rsid w:val="00C338B8"/>
    <w:rsid w:val="00C342F0"/>
    <w:rsid w:val="00C34B76"/>
    <w:rsid w:val="00C34C6D"/>
    <w:rsid w:val="00C3525A"/>
    <w:rsid w:val="00C36640"/>
    <w:rsid w:val="00C369E9"/>
    <w:rsid w:val="00C40684"/>
    <w:rsid w:val="00C41966"/>
    <w:rsid w:val="00C42ACE"/>
    <w:rsid w:val="00C4457F"/>
    <w:rsid w:val="00C456F9"/>
    <w:rsid w:val="00C4573C"/>
    <w:rsid w:val="00C45979"/>
    <w:rsid w:val="00C46EE2"/>
    <w:rsid w:val="00C47027"/>
    <w:rsid w:val="00C4721C"/>
    <w:rsid w:val="00C4775C"/>
    <w:rsid w:val="00C47A22"/>
    <w:rsid w:val="00C47A48"/>
    <w:rsid w:val="00C47B14"/>
    <w:rsid w:val="00C50199"/>
    <w:rsid w:val="00C524C7"/>
    <w:rsid w:val="00C52D59"/>
    <w:rsid w:val="00C53106"/>
    <w:rsid w:val="00C53929"/>
    <w:rsid w:val="00C53C21"/>
    <w:rsid w:val="00C5434C"/>
    <w:rsid w:val="00C5510A"/>
    <w:rsid w:val="00C55190"/>
    <w:rsid w:val="00C5796F"/>
    <w:rsid w:val="00C57F3E"/>
    <w:rsid w:val="00C60707"/>
    <w:rsid w:val="00C60A43"/>
    <w:rsid w:val="00C60F5A"/>
    <w:rsid w:val="00C61AE4"/>
    <w:rsid w:val="00C645EE"/>
    <w:rsid w:val="00C652AF"/>
    <w:rsid w:val="00C6556C"/>
    <w:rsid w:val="00C70125"/>
    <w:rsid w:val="00C72C25"/>
    <w:rsid w:val="00C7497E"/>
    <w:rsid w:val="00C757DF"/>
    <w:rsid w:val="00C76421"/>
    <w:rsid w:val="00C7697A"/>
    <w:rsid w:val="00C81427"/>
    <w:rsid w:val="00C81DA9"/>
    <w:rsid w:val="00C826C5"/>
    <w:rsid w:val="00C851B8"/>
    <w:rsid w:val="00C85D18"/>
    <w:rsid w:val="00C86268"/>
    <w:rsid w:val="00C867D8"/>
    <w:rsid w:val="00C868F9"/>
    <w:rsid w:val="00C87B56"/>
    <w:rsid w:val="00C90C99"/>
    <w:rsid w:val="00C90FFC"/>
    <w:rsid w:val="00C92DA3"/>
    <w:rsid w:val="00C935FC"/>
    <w:rsid w:val="00C9384F"/>
    <w:rsid w:val="00C95299"/>
    <w:rsid w:val="00C96440"/>
    <w:rsid w:val="00CA1308"/>
    <w:rsid w:val="00CA2424"/>
    <w:rsid w:val="00CA2891"/>
    <w:rsid w:val="00CA2B05"/>
    <w:rsid w:val="00CA4664"/>
    <w:rsid w:val="00CA4E04"/>
    <w:rsid w:val="00CA5A6A"/>
    <w:rsid w:val="00CA5E72"/>
    <w:rsid w:val="00CA681F"/>
    <w:rsid w:val="00CA6924"/>
    <w:rsid w:val="00CA6F96"/>
    <w:rsid w:val="00CB1B0A"/>
    <w:rsid w:val="00CB25E3"/>
    <w:rsid w:val="00CB2923"/>
    <w:rsid w:val="00CB2C0E"/>
    <w:rsid w:val="00CB6474"/>
    <w:rsid w:val="00CB666F"/>
    <w:rsid w:val="00CB70DD"/>
    <w:rsid w:val="00CB7452"/>
    <w:rsid w:val="00CB79F8"/>
    <w:rsid w:val="00CB7AD6"/>
    <w:rsid w:val="00CC0CC1"/>
    <w:rsid w:val="00CC1F98"/>
    <w:rsid w:val="00CC2D18"/>
    <w:rsid w:val="00CC3DF0"/>
    <w:rsid w:val="00CC5152"/>
    <w:rsid w:val="00CD0D67"/>
    <w:rsid w:val="00CD12FE"/>
    <w:rsid w:val="00CD1929"/>
    <w:rsid w:val="00CD1A47"/>
    <w:rsid w:val="00CD1E15"/>
    <w:rsid w:val="00CD291E"/>
    <w:rsid w:val="00CD2F0C"/>
    <w:rsid w:val="00CD4643"/>
    <w:rsid w:val="00CD7540"/>
    <w:rsid w:val="00CE0082"/>
    <w:rsid w:val="00CE0358"/>
    <w:rsid w:val="00CE05CC"/>
    <w:rsid w:val="00CE1258"/>
    <w:rsid w:val="00CE199D"/>
    <w:rsid w:val="00CE1A5C"/>
    <w:rsid w:val="00CE1F27"/>
    <w:rsid w:val="00CE258B"/>
    <w:rsid w:val="00CE272D"/>
    <w:rsid w:val="00CE2D3C"/>
    <w:rsid w:val="00CE2FB0"/>
    <w:rsid w:val="00CE33F9"/>
    <w:rsid w:val="00CE4CAE"/>
    <w:rsid w:val="00CE4E1E"/>
    <w:rsid w:val="00CE6E28"/>
    <w:rsid w:val="00CE7A77"/>
    <w:rsid w:val="00CE7FA8"/>
    <w:rsid w:val="00CF0C23"/>
    <w:rsid w:val="00CF0D37"/>
    <w:rsid w:val="00CF0E56"/>
    <w:rsid w:val="00CF1817"/>
    <w:rsid w:val="00CF2474"/>
    <w:rsid w:val="00CF332A"/>
    <w:rsid w:val="00CF3F73"/>
    <w:rsid w:val="00CF4DA4"/>
    <w:rsid w:val="00D00421"/>
    <w:rsid w:val="00D00496"/>
    <w:rsid w:val="00D01727"/>
    <w:rsid w:val="00D02AA6"/>
    <w:rsid w:val="00D03881"/>
    <w:rsid w:val="00D06136"/>
    <w:rsid w:val="00D06D72"/>
    <w:rsid w:val="00D079FD"/>
    <w:rsid w:val="00D11D21"/>
    <w:rsid w:val="00D13D19"/>
    <w:rsid w:val="00D149A4"/>
    <w:rsid w:val="00D14FE6"/>
    <w:rsid w:val="00D150ED"/>
    <w:rsid w:val="00D16883"/>
    <w:rsid w:val="00D17C40"/>
    <w:rsid w:val="00D21562"/>
    <w:rsid w:val="00D21B4A"/>
    <w:rsid w:val="00D21E8C"/>
    <w:rsid w:val="00D229DB"/>
    <w:rsid w:val="00D2387D"/>
    <w:rsid w:val="00D24E65"/>
    <w:rsid w:val="00D24F4E"/>
    <w:rsid w:val="00D27ADA"/>
    <w:rsid w:val="00D30449"/>
    <w:rsid w:val="00D30AF0"/>
    <w:rsid w:val="00D32F5C"/>
    <w:rsid w:val="00D33559"/>
    <w:rsid w:val="00D335F3"/>
    <w:rsid w:val="00D33606"/>
    <w:rsid w:val="00D33A66"/>
    <w:rsid w:val="00D33C0E"/>
    <w:rsid w:val="00D35205"/>
    <w:rsid w:val="00D35246"/>
    <w:rsid w:val="00D357EA"/>
    <w:rsid w:val="00D35BC8"/>
    <w:rsid w:val="00D36C8E"/>
    <w:rsid w:val="00D37191"/>
    <w:rsid w:val="00D403F2"/>
    <w:rsid w:val="00D4195B"/>
    <w:rsid w:val="00D41F50"/>
    <w:rsid w:val="00D43877"/>
    <w:rsid w:val="00D44193"/>
    <w:rsid w:val="00D44EA4"/>
    <w:rsid w:val="00D45271"/>
    <w:rsid w:val="00D454B6"/>
    <w:rsid w:val="00D46B67"/>
    <w:rsid w:val="00D478E0"/>
    <w:rsid w:val="00D47AD4"/>
    <w:rsid w:val="00D5042D"/>
    <w:rsid w:val="00D50BA3"/>
    <w:rsid w:val="00D51BA9"/>
    <w:rsid w:val="00D52765"/>
    <w:rsid w:val="00D54B48"/>
    <w:rsid w:val="00D54B8C"/>
    <w:rsid w:val="00D56AED"/>
    <w:rsid w:val="00D6059A"/>
    <w:rsid w:val="00D61BF9"/>
    <w:rsid w:val="00D624D3"/>
    <w:rsid w:val="00D62FB5"/>
    <w:rsid w:val="00D63765"/>
    <w:rsid w:val="00D64825"/>
    <w:rsid w:val="00D64B29"/>
    <w:rsid w:val="00D64D64"/>
    <w:rsid w:val="00D650C5"/>
    <w:rsid w:val="00D66931"/>
    <w:rsid w:val="00D70790"/>
    <w:rsid w:val="00D70D35"/>
    <w:rsid w:val="00D70F10"/>
    <w:rsid w:val="00D711C3"/>
    <w:rsid w:val="00D711F0"/>
    <w:rsid w:val="00D722EF"/>
    <w:rsid w:val="00D74F8A"/>
    <w:rsid w:val="00D75F81"/>
    <w:rsid w:val="00D77AD1"/>
    <w:rsid w:val="00D80149"/>
    <w:rsid w:val="00D804D9"/>
    <w:rsid w:val="00D80661"/>
    <w:rsid w:val="00D80684"/>
    <w:rsid w:val="00D809F1"/>
    <w:rsid w:val="00D83856"/>
    <w:rsid w:val="00D83BA0"/>
    <w:rsid w:val="00D85E86"/>
    <w:rsid w:val="00D90DFD"/>
    <w:rsid w:val="00D90E1A"/>
    <w:rsid w:val="00D90F2B"/>
    <w:rsid w:val="00D9106E"/>
    <w:rsid w:val="00D93D53"/>
    <w:rsid w:val="00D95246"/>
    <w:rsid w:val="00D95A94"/>
    <w:rsid w:val="00D96983"/>
    <w:rsid w:val="00D971B9"/>
    <w:rsid w:val="00D97A45"/>
    <w:rsid w:val="00D97C9E"/>
    <w:rsid w:val="00DA0605"/>
    <w:rsid w:val="00DA25D7"/>
    <w:rsid w:val="00DA310F"/>
    <w:rsid w:val="00DA3C48"/>
    <w:rsid w:val="00DA4C8D"/>
    <w:rsid w:val="00DA7FEA"/>
    <w:rsid w:val="00DB0AB9"/>
    <w:rsid w:val="00DB3CEA"/>
    <w:rsid w:val="00DB442C"/>
    <w:rsid w:val="00DB5953"/>
    <w:rsid w:val="00DB5A2C"/>
    <w:rsid w:val="00DB77D2"/>
    <w:rsid w:val="00DC010A"/>
    <w:rsid w:val="00DC05D5"/>
    <w:rsid w:val="00DC0E36"/>
    <w:rsid w:val="00DC281B"/>
    <w:rsid w:val="00DC2C86"/>
    <w:rsid w:val="00DC2FA7"/>
    <w:rsid w:val="00DC4F7A"/>
    <w:rsid w:val="00DC5AD5"/>
    <w:rsid w:val="00DC7014"/>
    <w:rsid w:val="00DC7148"/>
    <w:rsid w:val="00DD1815"/>
    <w:rsid w:val="00DD1951"/>
    <w:rsid w:val="00DD1A45"/>
    <w:rsid w:val="00DD3711"/>
    <w:rsid w:val="00DD4570"/>
    <w:rsid w:val="00DD54FC"/>
    <w:rsid w:val="00DD59CF"/>
    <w:rsid w:val="00DD70A0"/>
    <w:rsid w:val="00DE0D35"/>
    <w:rsid w:val="00DE2B5E"/>
    <w:rsid w:val="00DE2DB4"/>
    <w:rsid w:val="00DE2F07"/>
    <w:rsid w:val="00DE60BD"/>
    <w:rsid w:val="00DE68CB"/>
    <w:rsid w:val="00DE69C8"/>
    <w:rsid w:val="00DE70A6"/>
    <w:rsid w:val="00DE766A"/>
    <w:rsid w:val="00DE76EE"/>
    <w:rsid w:val="00DF14BF"/>
    <w:rsid w:val="00DF2376"/>
    <w:rsid w:val="00DF24E2"/>
    <w:rsid w:val="00DF25FE"/>
    <w:rsid w:val="00DF3599"/>
    <w:rsid w:val="00DF3AE1"/>
    <w:rsid w:val="00DF4DE2"/>
    <w:rsid w:val="00DF6ED7"/>
    <w:rsid w:val="00DF7014"/>
    <w:rsid w:val="00DF7045"/>
    <w:rsid w:val="00DF70BE"/>
    <w:rsid w:val="00E00BB9"/>
    <w:rsid w:val="00E0268B"/>
    <w:rsid w:val="00E02AE0"/>
    <w:rsid w:val="00E03077"/>
    <w:rsid w:val="00E033E1"/>
    <w:rsid w:val="00E04059"/>
    <w:rsid w:val="00E045BC"/>
    <w:rsid w:val="00E047BF"/>
    <w:rsid w:val="00E04A1E"/>
    <w:rsid w:val="00E04CD4"/>
    <w:rsid w:val="00E05138"/>
    <w:rsid w:val="00E05E8A"/>
    <w:rsid w:val="00E05F37"/>
    <w:rsid w:val="00E076E8"/>
    <w:rsid w:val="00E07AAB"/>
    <w:rsid w:val="00E10195"/>
    <w:rsid w:val="00E10F8B"/>
    <w:rsid w:val="00E115F1"/>
    <w:rsid w:val="00E11A05"/>
    <w:rsid w:val="00E11C5A"/>
    <w:rsid w:val="00E120B4"/>
    <w:rsid w:val="00E12757"/>
    <w:rsid w:val="00E12844"/>
    <w:rsid w:val="00E1334C"/>
    <w:rsid w:val="00E146B1"/>
    <w:rsid w:val="00E1494C"/>
    <w:rsid w:val="00E14BD5"/>
    <w:rsid w:val="00E14C9D"/>
    <w:rsid w:val="00E165C4"/>
    <w:rsid w:val="00E16B52"/>
    <w:rsid w:val="00E201DA"/>
    <w:rsid w:val="00E208D1"/>
    <w:rsid w:val="00E20D4E"/>
    <w:rsid w:val="00E2103E"/>
    <w:rsid w:val="00E2261B"/>
    <w:rsid w:val="00E226C3"/>
    <w:rsid w:val="00E22A16"/>
    <w:rsid w:val="00E2395D"/>
    <w:rsid w:val="00E24CB0"/>
    <w:rsid w:val="00E250DD"/>
    <w:rsid w:val="00E25F03"/>
    <w:rsid w:val="00E25FB3"/>
    <w:rsid w:val="00E26B52"/>
    <w:rsid w:val="00E26CCA"/>
    <w:rsid w:val="00E27791"/>
    <w:rsid w:val="00E27A7C"/>
    <w:rsid w:val="00E27F1C"/>
    <w:rsid w:val="00E300A0"/>
    <w:rsid w:val="00E326AB"/>
    <w:rsid w:val="00E32FAD"/>
    <w:rsid w:val="00E33161"/>
    <w:rsid w:val="00E33F03"/>
    <w:rsid w:val="00E36529"/>
    <w:rsid w:val="00E3696F"/>
    <w:rsid w:val="00E3788D"/>
    <w:rsid w:val="00E37F72"/>
    <w:rsid w:val="00E4029D"/>
    <w:rsid w:val="00E40745"/>
    <w:rsid w:val="00E40A36"/>
    <w:rsid w:val="00E40C87"/>
    <w:rsid w:val="00E41A0D"/>
    <w:rsid w:val="00E422BB"/>
    <w:rsid w:val="00E425D2"/>
    <w:rsid w:val="00E43C41"/>
    <w:rsid w:val="00E43F8B"/>
    <w:rsid w:val="00E440DA"/>
    <w:rsid w:val="00E444FE"/>
    <w:rsid w:val="00E4525D"/>
    <w:rsid w:val="00E45FD6"/>
    <w:rsid w:val="00E46679"/>
    <w:rsid w:val="00E46D73"/>
    <w:rsid w:val="00E4710B"/>
    <w:rsid w:val="00E51ABD"/>
    <w:rsid w:val="00E51EBD"/>
    <w:rsid w:val="00E520E4"/>
    <w:rsid w:val="00E528B7"/>
    <w:rsid w:val="00E52AF6"/>
    <w:rsid w:val="00E54387"/>
    <w:rsid w:val="00E55940"/>
    <w:rsid w:val="00E55ED0"/>
    <w:rsid w:val="00E564D6"/>
    <w:rsid w:val="00E5680E"/>
    <w:rsid w:val="00E56D78"/>
    <w:rsid w:val="00E57B9E"/>
    <w:rsid w:val="00E603FE"/>
    <w:rsid w:val="00E60556"/>
    <w:rsid w:val="00E608E8"/>
    <w:rsid w:val="00E60DE5"/>
    <w:rsid w:val="00E62EC7"/>
    <w:rsid w:val="00E63018"/>
    <w:rsid w:val="00E63313"/>
    <w:rsid w:val="00E636B9"/>
    <w:rsid w:val="00E66698"/>
    <w:rsid w:val="00E7183E"/>
    <w:rsid w:val="00E71FF9"/>
    <w:rsid w:val="00E7234C"/>
    <w:rsid w:val="00E72FBE"/>
    <w:rsid w:val="00E7353C"/>
    <w:rsid w:val="00E74605"/>
    <w:rsid w:val="00E746A9"/>
    <w:rsid w:val="00E758C8"/>
    <w:rsid w:val="00E75DEE"/>
    <w:rsid w:val="00E768C2"/>
    <w:rsid w:val="00E76933"/>
    <w:rsid w:val="00E76EC1"/>
    <w:rsid w:val="00E77BCC"/>
    <w:rsid w:val="00E80992"/>
    <w:rsid w:val="00E81272"/>
    <w:rsid w:val="00E814E4"/>
    <w:rsid w:val="00E8174F"/>
    <w:rsid w:val="00E82261"/>
    <w:rsid w:val="00E829BD"/>
    <w:rsid w:val="00E83124"/>
    <w:rsid w:val="00E84008"/>
    <w:rsid w:val="00E85E7B"/>
    <w:rsid w:val="00E86B9C"/>
    <w:rsid w:val="00E87DF8"/>
    <w:rsid w:val="00E90334"/>
    <w:rsid w:val="00E90B68"/>
    <w:rsid w:val="00E91538"/>
    <w:rsid w:val="00E91829"/>
    <w:rsid w:val="00E955E7"/>
    <w:rsid w:val="00E96CE8"/>
    <w:rsid w:val="00EA03E2"/>
    <w:rsid w:val="00EA0905"/>
    <w:rsid w:val="00EA2419"/>
    <w:rsid w:val="00EA3586"/>
    <w:rsid w:val="00EA3730"/>
    <w:rsid w:val="00EA598A"/>
    <w:rsid w:val="00EA684E"/>
    <w:rsid w:val="00EA6AA2"/>
    <w:rsid w:val="00EA6EB3"/>
    <w:rsid w:val="00EA7E4B"/>
    <w:rsid w:val="00EB05AA"/>
    <w:rsid w:val="00EB1A71"/>
    <w:rsid w:val="00EB27BF"/>
    <w:rsid w:val="00EB2D88"/>
    <w:rsid w:val="00EB339D"/>
    <w:rsid w:val="00EB37A0"/>
    <w:rsid w:val="00EB4B6B"/>
    <w:rsid w:val="00EB728E"/>
    <w:rsid w:val="00EC1162"/>
    <w:rsid w:val="00EC1197"/>
    <w:rsid w:val="00EC11A2"/>
    <w:rsid w:val="00EC1D1F"/>
    <w:rsid w:val="00EC2F66"/>
    <w:rsid w:val="00EC36F7"/>
    <w:rsid w:val="00EC37D7"/>
    <w:rsid w:val="00EC3C7F"/>
    <w:rsid w:val="00EC3CD1"/>
    <w:rsid w:val="00EC503F"/>
    <w:rsid w:val="00EC52B7"/>
    <w:rsid w:val="00EC562B"/>
    <w:rsid w:val="00EC5702"/>
    <w:rsid w:val="00EC607D"/>
    <w:rsid w:val="00EC6BD3"/>
    <w:rsid w:val="00EC758B"/>
    <w:rsid w:val="00EC7DF8"/>
    <w:rsid w:val="00ED11CF"/>
    <w:rsid w:val="00ED1A6D"/>
    <w:rsid w:val="00ED1B0E"/>
    <w:rsid w:val="00ED389E"/>
    <w:rsid w:val="00ED43C2"/>
    <w:rsid w:val="00ED5A50"/>
    <w:rsid w:val="00ED5D11"/>
    <w:rsid w:val="00EE07C5"/>
    <w:rsid w:val="00EE0941"/>
    <w:rsid w:val="00EE0ACB"/>
    <w:rsid w:val="00EE12B4"/>
    <w:rsid w:val="00EE1502"/>
    <w:rsid w:val="00EE2DA2"/>
    <w:rsid w:val="00EE3089"/>
    <w:rsid w:val="00EE3764"/>
    <w:rsid w:val="00EE3B91"/>
    <w:rsid w:val="00EE46C6"/>
    <w:rsid w:val="00EE4E6A"/>
    <w:rsid w:val="00EE64C7"/>
    <w:rsid w:val="00EE7B25"/>
    <w:rsid w:val="00EF05B4"/>
    <w:rsid w:val="00EF135A"/>
    <w:rsid w:val="00EF1E24"/>
    <w:rsid w:val="00EF245C"/>
    <w:rsid w:val="00EF2559"/>
    <w:rsid w:val="00EF29CF"/>
    <w:rsid w:val="00EF4568"/>
    <w:rsid w:val="00EF61EF"/>
    <w:rsid w:val="00F00424"/>
    <w:rsid w:val="00F00482"/>
    <w:rsid w:val="00F009AA"/>
    <w:rsid w:val="00F00BC9"/>
    <w:rsid w:val="00F01263"/>
    <w:rsid w:val="00F0314A"/>
    <w:rsid w:val="00F03492"/>
    <w:rsid w:val="00F03974"/>
    <w:rsid w:val="00F043C7"/>
    <w:rsid w:val="00F04505"/>
    <w:rsid w:val="00F072A7"/>
    <w:rsid w:val="00F10C13"/>
    <w:rsid w:val="00F111E0"/>
    <w:rsid w:val="00F13517"/>
    <w:rsid w:val="00F13694"/>
    <w:rsid w:val="00F14811"/>
    <w:rsid w:val="00F14DB1"/>
    <w:rsid w:val="00F154E2"/>
    <w:rsid w:val="00F16E42"/>
    <w:rsid w:val="00F17A81"/>
    <w:rsid w:val="00F204B3"/>
    <w:rsid w:val="00F2051D"/>
    <w:rsid w:val="00F23043"/>
    <w:rsid w:val="00F230F1"/>
    <w:rsid w:val="00F243D2"/>
    <w:rsid w:val="00F246A6"/>
    <w:rsid w:val="00F249E8"/>
    <w:rsid w:val="00F25D8C"/>
    <w:rsid w:val="00F270B7"/>
    <w:rsid w:val="00F2727E"/>
    <w:rsid w:val="00F27B56"/>
    <w:rsid w:val="00F30F83"/>
    <w:rsid w:val="00F31B9B"/>
    <w:rsid w:val="00F324C7"/>
    <w:rsid w:val="00F33661"/>
    <w:rsid w:val="00F33BD5"/>
    <w:rsid w:val="00F33CFE"/>
    <w:rsid w:val="00F34C11"/>
    <w:rsid w:val="00F36381"/>
    <w:rsid w:val="00F4039D"/>
    <w:rsid w:val="00F4093A"/>
    <w:rsid w:val="00F409FD"/>
    <w:rsid w:val="00F40F1D"/>
    <w:rsid w:val="00F42457"/>
    <w:rsid w:val="00F43B44"/>
    <w:rsid w:val="00F43CD8"/>
    <w:rsid w:val="00F442AA"/>
    <w:rsid w:val="00F44CD2"/>
    <w:rsid w:val="00F4771C"/>
    <w:rsid w:val="00F502B9"/>
    <w:rsid w:val="00F51F32"/>
    <w:rsid w:val="00F524F8"/>
    <w:rsid w:val="00F52A89"/>
    <w:rsid w:val="00F5487B"/>
    <w:rsid w:val="00F55A57"/>
    <w:rsid w:val="00F56AD1"/>
    <w:rsid w:val="00F56BF3"/>
    <w:rsid w:val="00F575CD"/>
    <w:rsid w:val="00F57B5A"/>
    <w:rsid w:val="00F60508"/>
    <w:rsid w:val="00F61F10"/>
    <w:rsid w:val="00F65EFF"/>
    <w:rsid w:val="00F66EF4"/>
    <w:rsid w:val="00F67638"/>
    <w:rsid w:val="00F67C5F"/>
    <w:rsid w:val="00F712AE"/>
    <w:rsid w:val="00F724E2"/>
    <w:rsid w:val="00F7264E"/>
    <w:rsid w:val="00F72843"/>
    <w:rsid w:val="00F72DA1"/>
    <w:rsid w:val="00F73531"/>
    <w:rsid w:val="00F750B9"/>
    <w:rsid w:val="00F7554F"/>
    <w:rsid w:val="00F75C38"/>
    <w:rsid w:val="00F75E2D"/>
    <w:rsid w:val="00F77088"/>
    <w:rsid w:val="00F77C36"/>
    <w:rsid w:val="00F77D10"/>
    <w:rsid w:val="00F800B6"/>
    <w:rsid w:val="00F80296"/>
    <w:rsid w:val="00F81DFF"/>
    <w:rsid w:val="00F8299B"/>
    <w:rsid w:val="00F84D22"/>
    <w:rsid w:val="00F85AF6"/>
    <w:rsid w:val="00F860BF"/>
    <w:rsid w:val="00F87524"/>
    <w:rsid w:val="00F90EDD"/>
    <w:rsid w:val="00F9152F"/>
    <w:rsid w:val="00F915AE"/>
    <w:rsid w:val="00F91CD1"/>
    <w:rsid w:val="00F93632"/>
    <w:rsid w:val="00F93A3E"/>
    <w:rsid w:val="00F93FB6"/>
    <w:rsid w:val="00F9619C"/>
    <w:rsid w:val="00F9765D"/>
    <w:rsid w:val="00FA00D0"/>
    <w:rsid w:val="00FA024E"/>
    <w:rsid w:val="00FA19D7"/>
    <w:rsid w:val="00FA1FF3"/>
    <w:rsid w:val="00FA2052"/>
    <w:rsid w:val="00FA326D"/>
    <w:rsid w:val="00FA3B45"/>
    <w:rsid w:val="00FA447F"/>
    <w:rsid w:val="00FA4C8A"/>
    <w:rsid w:val="00FA514F"/>
    <w:rsid w:val="00FA601F"/>
    <w:rsid w:val="00FA6B4B"/>
    <w:rsid w:val="00FA71C3"/>
    <w:rsid w:val="00FB0335"/>
    <w:rsid w:val="00FB0AFE"/>
    <w:rsid w:val="00FB1500"/>
    <w:rsid w:val="00FB44FB"/>
    <w:rsid w:val="00FB55FB"/>
    <w:rsid w:val="00FB797F"/>
    <w:rsid w:val="00FB7D38"/>
    <w:rsid w:val="00FC01E9"/>
    <w:rsid w:val="00FC129B"/>
    <w:rsid w:val="00FC2EA0"/>
    <w:rsid w:val="00FC34DA"/>
    <w:rsid w:val="00FC47D7"/>
    <w:rsid w:val="00FC489C"/>
    <w:rsid w:val="00FC538E"/>
    <w:rsid w:val="00FC62E3"/>
    <w:rsid w:val="00FC64A3"/>
    <w:rsid w:val="00FC6998"/>
    <w:rsid w:val="00FC6ADB"/>
    <w:rsid w:val="00FD01EE"/>
    <w:rsid w:val="00FD024A"/>
    <w:rsid w:val="00FD079F"/>
    <w:rsid w:val="00FD1AB9"/>
    <w:rsid w:val="00FD3897"/>
    <w:rsid w:val="00FD3A18"/>
    <w:rsid w:val="00FD441A"/>
    <w:rsid w:val="00FD5273"/>
    <w:rsid w:val="00FD7B36"/>
    <w:rsid w:val="00FE2A1A"/>
    <w:rsid w:val="00FE2B23"/>
    <w:rsid w:val="00FE2F29"/>
    <w:rsid w:val="00FE2F82"/>
    <w:rsid w:val="00FE33D5"/>
    <w:rsid w:val="00FE3A61"/>
    <w:rsid w:val="00FE59C6"/>
    <w:rsid w:val="00FE6693"/>
    <w:rsid w:val="00FE7AA7"/>
    <w:rsid w:val="00FF04B6"/>
    <w:rsid w:val="00FF0ECB"/>
    <w:rsid w:val="00FF2314"/>
    <w:rsid w:val="00FF2B07"/>
    <w:rsid w:val="00FF3A0E"/>
    <w:rsid w:val="00FF5839"/>
    <w:rsid w:val="00FF66E6"/>
    <w:rsid w:val="00FF7DFF"/>
    <w:rsid w:val="0BE75B2C"/>
    <w:rsid w:val="305D11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0"/>
    <w:qFormat/>
    <w:uiPriority w:val="0"/>
    <w:pPr>
      <w:keepNext/>
      <w:keepLines/>
      <w:spacing w:line="360" w:lineRule="auto"/>
      <w:outlineLvl w:val="0"/>
    </w:pPr>
    <w:rPr>
      <w:rFonts w:ascii="仿宋_GB2312" w:eastAsia="仿宋_GB2312"/>
      <w:bCs/>
      <w:snapToGrid w:val="0"/>
      <w:kern w:val="0"/>
      <w:szCs w:val="21"/>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1"/>
    <w:qFormat/>
    <w:uiPriority w:val="99"/>
    <w:pPr>
      <w:tabs>
        <w:tab w:val="center" w:pos="4153"/>
        <w:tab w:val="right" w:pos="8306"/>
      </w:tabs>
      <w:snapToGrid w:val="0"/>
      <w:jc w:val="left"/>
    </w:pPr>
    <w:rPr>
      <w:sz w:val="18"/>
      <w:szCs w:val="18"/>
    </w:rPr>
  </w:style>
  <w:style w:type="paragraph" w:styleId="4">
    <w:name w:val="header"/>
    <w:basedOn w:val="1"/>
    <w:link w:val="13"/>
    <w:unhideWhenUsed/>
    <w:uiPriority w:val="99"/>
    <w:pPr>
      <w:pBdr>
        <w:bottom w:val="single" w:color="auto" w:sz="6" w:space="1"/>
      </w:pBdr>
      <w:tabs>
        <w:tab w:val="center" w:pos="4153"/>
        <w:tab w:val="right" w:pos="8306"/>
      </w:tabs>
      <w:snapToGrid w:val="0"/>
      <w:jc w:val="center"/>
    </w:pPr>
    <w:rPr>
      <w:sz w:val="18"/>
      <w:szCs w:val="18"/>
    </w:rPr>
  </w:style>
  <w:style w:type="paragraph" w:styleId="5">
    <w:name w:val="Subtitle"/>
    <w:basedOn w:val="1"/>
    <w:next w:val="1"/>
    <w:link w:val="12"/>
    <w:qFormat/>
    <w:uiPriority w:val="0"/>
    <w:pPr>
      <w:ind w:firstLine="200" w:firstLineChars="200"/>
      <w:jc w:val="left"/>
      <w:outlineLvl w:val="2"/>
    </w:pPr>
    <w:rPr>
      <w:rFonts w:ascii="Cambria" w:hAnsi="Cambria" w:eastAsia="黑体"/>
      <w:bCs/>
      <w:kern w:val="28"/>
      <w:sz w:val="28"/>
      <w:szCs w:val="32"/>
    </w:rPr>
  </w:style>
  <w:style w:type="table" w:styleId="7">
    <w:name w:val="Table Grid"/>
    <w:basedOn w:val="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uiPriority w:val="0"/>
  </w:style>
  <w:style w:type="character" w:customStyle="1" w:styleId="10">
    <w:name w:val="标题 1 字符"/>
    <w:basedOn w:val="8"/>
    <w:link w:val="2"/>
    <w:uiPriority w:val="0"/>
    <w:rPr>
      <w:rFonts w:ascii="仿宋_GB2312" w:hAnsi="Times New Roman" w:eastAsia="仿宋_GB2312" w:cs="Times New Roman"/>
      <w:bCs/>
      <w:snapToGrid w:val="0"/>
      <w:kern w:val="0"/>
      <w:szCs w:val="21"/>
    </w:rPr>
  </w:style>
  <w:style w:type="character" w:customStyle="1" w:styleId="11">
    <w:name w:val="页脚 字符"/>
    <w:basedOn w:val="8"/>
    <w:link w:val="3"/>
    <w:uiPriority w:val="99"/>
    <w:rPr>
      <w:rFonts w:ascii="Times New Roman" w:hAnsi="Times New Roman" w:eastAsia="宋体" w:cs="Times New Roman"/>
      <w:sz w:val="18"/>
      <w:szCs w:val="18"/>
    </w:rPr>
  </w:style>
  <w:style w:type="character" w:customStyle="1" w:styleId="12">
    <w:name w:val="副标题 字符"/>
    <w:basedOn w:val="8"/>
    <w:link w:val="5"/>
    <w:uiPriority w:val="0"/>
    <w:rPr>
      <w:rFonts w:ascii="Cambria" w:hAnsi="Cambria" w:eastAsia="黑体" w:cs="Times New Roman"/>
      <w:bCs/>
      <w:kern w:val="28"/>
      <w:sz w:val="28"/>
      <w:szCs w:val="32"/>
    </w:rPr>
  </w:style>
  <w:style w:type="character" w:customStyle="1" w:styleId="13">
    <w:name w:val="页眉 字符"/>
    <w:basedOn w:val="8"/>
    <w:link w:val="4"/>
    <w:uiPriority w:val="99"/>
    <w:rPr>
      <w:rFonts w:ascii="Times New Roman" w:hAnsi="Times New Roman" w:eastAsia="宋体" w:cs="Times New Roman"/>
      <w:sz w:val="18"/>
      <w:szCs w:val="18"/>
    </w:rPr>
  </w:style>
  <w:style w:type="paragraph" w:styleId="14">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styleId="1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联想中国</Company>
  <Pages>7</Pages>
  <Words>566</Words>
  <Characters>3232</Characters>
  <Lines>26</Lines>
  <Paragraphs>7</Paragraphs>
  <TotalTime>599</TotalTime>
  <ScaleCrop>false</ScaleCrop>
  <LinksUpToDate>false</LinksUpToDate>
  <CharactersWithSpaces>3791</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2018-11-05T00:29:00Z</dcterms:created>
  <dc:creator>许俊1493686164405</dc:creator>
  <cp:lastModifiedBy>Administrator</cp:lastModifiedBy>
  <cp:lastPrinted>2023-11-22T13:37:00Z</cp:lastPrinted>
  <dcterms:modified xsi:type="dcterms:W3CDTF">2024-04-22T02:42:11Z</dcterms:modified>
  <cp:revision>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4C4B4ACC2C714B0091BD5D7D482E6A0F</vt:lpwstr>
  </property>
</Properties>
</file>